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37B3" w14:textId="77777777" w:rsidR="00D84A52" w:rsidRPr="00902CBD" w:rsidRDefault="00000000">
      <w:pPr>
        <w:pStyle w:val="Title"/>
        <w:rPr>
          <w:sz w:val="160"/>
          <w:szCs w:val="56"/>
        </w:rPr>
      </w:pPr>
      <w:r w:rsidRPr="00902CBD">
        <w:rPr>
          <w:sz w:val="48"/>
          <w:szCs w:val="96"/>
        </w:rPr>
        <w:t>Interval Pareto Certificates and Evidence Gated Fusion for Adaptive Optimisation</w:t>
      </w:r>
    </w:p>
    <w:p w14:paraId="4339B4E7" w14:textId="77777777" w:rsidR="00D84A52" w:rsidRPr="00902CBD" w:rsidRDefault="00000000">
      <w:pPr>
        <w:pStyle w:val="Subtitle"/>
        <w:rPr>
          <w:color w:val="00B0F0"/>
          <w:sz w:val="28"/>
          <w:szCs w:val="28"/>
        </w:rPr>
      </w:pPr>
      <w:r w:rsidRPr="00902CBD">
        <w:rPr>
          <w:color w:val="00B0F0"/>
        </w:rPr>
        <w:t>Uniform preference reuse and symbolic guarantees for multiobjective archives</w:t>
      </w:r>
    </w:p>
    <w:p w14:paraId="37891907" w14:textId="7091FC3A" w:rsidR="00D84A52" w:rsidRDefault="00000000" w:rsidP="001E0BBC">
      <w:pPr>
        <w:pStyle w:val="Author"/>
        <w:keepLines/>
        <w:rPr>
          <w:rFonts w:hint="eastAsia"/>
        </w:rPr>
      </w:pPr>
      <w:r>
        <w:t>Debi Prasad Ghosh</w:t>
      </w:r>
      <w:r w:rsidR="00902CBD">
        <w:t>, debiprasadghosh@gmail.com</w:t>
      </w:r>
      <w:r>
        <w:br/>
        <w:t>Founder and Principal Engineer</w:t>
      </w:r>
      <w:r w:rsidR="00902CBD">
        <w:t xml:space="preserve">, </w:t>
      </w:r>
      <w:r>
        <w:t>Debias Parametric Guru, Kolkata, India</w:t>
      </w:r>
      <w:r w:rsidR="001E0BBC">
        <w:br/>
      </w:r>
      <w:r>
        <w:t>Version 5</w:t>
      </w:r>
      <w:r w:rsidR="00EE166E">
        <w:t>,</w:t>
      </w:r>
      <w:r>
        <w:t xml:space="preserve"> 30 October 2026</w:t>
      </w:r>
      <w:r w:rsidR="00EE166E">
        <w:t xml:space="preserve">, </w:t>
      </w:r>
      <w:r w:rsidR="00EE166E" w:rsidRPr="00EE166E">
        <w:t>https://doi.org/10.13140/RG.2.2.35121.54889</w:t>
      </w:r>
    </w:p>
    <w:p w14:paraId="2191E01C" w14:textId="77777777" w:rsidR="00D84A52" w:rsidRDefault="00000000">
      <w:pPr>
        <w:pStyle w:val="Heading1"/>
        <w:spacing w:before="240"/>
      </w:pPr>
      <w:bookmarkStart w:id="0" w:name="abstract"/>
      <w:r>
        <w:t>Abstract</w:t>
      </w:r>
    </w:p>
    <w:p w14:paraId="744F5F58" w14:textId="77777777" w:rsidR="00D84A52" w:rsidRDefault="00000000">
      <w:pPr>
        <w:pStyle w:val="FirstParagraph"/>
      </w:pPr>
      <w:r>
        <w:t>A shared optimisation archive can retain a response vector while supporting several distinct preference targets. We develop interval and probabilistic guarantees for this separation. For a finite feasible catalog with independent response boxes, endpoint tests characterize possible and necessary Pareto efficiency exactly; valid refinement shrinks the possible set and enlarges the necessary set. Weighted-sum and normalized-mixture fusion minimize relative entropy objectives with opposite argument orders. For Gaussian retrieval, differentiating evidence gates adds a between-component covariance to the mean Jacobian. A two-Gaussian counterexample shows why contractive heads need not yield a contractive mixture. Sharp evidence and coordinate gate intervals reduce response uncertainty to monotone scalar root problems. The shared-archive uniform law is strengthened to allow unbounded nonnegative objectives for bounded reports across the full closed preference simplex and a bounded temperature interval. Positive preference and temperature floors additionally control objective moments. Fixed finite ranks concentrate at the lowest positive-mass level even under archive-selected divergent temperatures. A deterministic interpolation bound states what finite preference grids can certify. An error-oscillation bound removes irrelevant constant shifts from target sensitivity. Exact rational checks verify finite Pareto, gate, covariance, stability and scalar-minimizer statements. Numerical records and four figures from the supplied V4 paper are retained with corrected outward display rounding and explicit limits on their arithmetic certification; no performance experiment is rerun. The framework distinguishes preferences, observation evidence, sampling corrections and independently verified feasible decisions.</w:t>
      </w:r>
    </w:p>
    <w:p w14:paraId="2409B69F" w14:textId="5688A38F" w:rsidR="00D84A52" w:rsidRDefault="00000000">
      <w:pPr>
        <w:pStyle w:val="BodyText"/>
      </w:pPr>
      <w:r>
        <w:t>Keywords</w:t>
      </w:r>
      <w:r w:rsidR="001E0BBC">
        <w:t>:</w:t>
      </w:r>
      <w:r>
        <w:t xml:space="preserve"> Interval Pareto efficiency; objective fusion; evidence gates; relative entropy; adaptive importance sampling; uniform preference reuse; finite ranks; symbolic computation</w:t>
      </w:r>
    </w:p>
    <w:p w14:paraId="23AFAAC9" w14:textId="77777777" w:rsidR="00D84A52" w:rsidRDefault="00000000">
      <w:pPr>
        <w:pStyle w:val="Heading1"/>
      </w:pPr>
      <w:bookmarkStart w:id="1" w:name="introduction"/>
      <w:bookmarkEnd w:id="0"/>
      <w:r>
        <w:t>1 Introduction</w:t>
      </w:r>
    </w:p>
    <w:p w14:paraId="25379D44" w14:textId="77777777" w:rsidR="00147891" w:rsidRDefault="00000000">
      <w:pPr>
        <w:pStyle w:val="Heading2"/>
      </w:pPr>
      <w:r>
        <w:t>1.1 Literature Survey</w:t>
      </w:r>
    </w:p>
    <w:p w14:paraId="6198EEAD" w14:textId="77777777" w:rsidR="00D84A52" w:rsidRDefault="00000000">
      <w:pPr>
        <w:pStyle w:val="FirstParagraph"/>
      </w:pPr>
      <w:r>
        <w:t>An engineering design is rarely judged by one response. A conveyor gallery may need low cost, low embodied carbon, acceptable deflection, adequate fatigue resistance, and manageable fabrication. Some quantities define preferences among acceptable designs. Others define mandatory constraints. A search system must retain these distinctions when it combines its evaluations.</w:t>
      </w:r>
    </w:p>
    <w:p w14:paraId="43094CCC" w14:textId="77777777" w:rsidR="00D84A52" w:rsidRDefault="00000000">
      <w:pPr>
        <w:pStyle w:val="BodyText"/>
      </w:pPr>
      <w:r>
        <w:t>Autoregressive Diffusion Evolution builds each numerical proposal using earlier evaluated states. Its diffusion-style retrieval can be written as attention whose logits include an objective-dependent bias. Diffusion Evolution [1] and multimodal sequence models [2] motivate the channel analogy: one archive can be read through several objective channels, then fused. Here modality denotes a computational channel for an objective or evaluator; a cost objective is not literally a sensory modality.</w:t>
      </w:r>
    </w:p>
    <w:p w14:paraId="56D401CE" w14:textId="77777777" w:rsidR="00147891" w:rsidRDefault="00000000">
      <w:pPr>
        <w:pStyle w:val="BodyText"/>
      </w:pPr>
      <w:r>
        <w:t xml:space="preserve">Weighted-sum scalarization has well-known limits on nonconvex fronts [5], while Chebyshev scalarization provides a different reachability mechanism. Necessary and possible efficiency formalize uncertainty in interval multiobjective problems [20]. Logarithmic opinion pools clarify the entropy interpretation of early fusion [18], and Gaussian conditional-mean derivative identities clarify its retrieval geometry [19]. Defensive sampling [7] </w:t>
      </w:r>
      <w:r>
        <w:lastRenderedPageBreak/>
        <w:t>provides the coverage contract for archive integration. We apply these established principles and prove the finite-catalog and archive statements below without claiming that the underlying ideas originate with ADE.</w:t>
      </w:r>
    </w:p>
    <w:p w14:paraId="1E56118E" w14:textId="77777777" w:rsidR="00147891" w:rsidRDefault="00000000">
      <w:pPr>
        <w:pStyle w:val="Heading2"/>
      </w:pPr>
      <w:r>
        <w:t>1.2 Contribution</w:t>
      </w:r>
    </w:p>
    <w:p w14:paraId="66EC46A1" w14:textId="77777777" w:rsidR="00D84A52" w:rsidRDefault="00000000">
      <w:pPr>
        <w:pStyle w:val="BodyText"/>
      </w:pPr>
      <w:r>
        <w:t>The contribution is a set of explicit mathematical contracts for interval decisions and objective fusion. We characterize finite-catalog Pareto uncertainty, distinguish the two relative entropy aggregation objectives, derive gate covariance and sharp gate intervals, and strengthen uniform reuse beyond bounded objectives. We also extend finite-rank cooling to selected temperatures, bound interpolation from finite preference grids and refine response-error sensitivity by its oscillation. Proofs separate population targets from finite archives and state where numerical certification needs additional arithmetic guarantees.</w:t>
      </w:r>
    </w:p>
    <w:p w14:paraId="115E8AB9" w14:textId="77777777" w:rsidR="00147891" w:rsidRDefault="00000000">
      <w:pPr>
        <w:pStyle w:val="Heading2"/>
      </w:pPr>
      <w:r>
        <w:t>1.3 Structure</w:t>
      </w:r>
    </w:p>
    <w:p w14:paraId="72FC94D3" w14:textId="7B70B890" w:rsidR="00D84A52" w:rsidRDefault="00000000">
      <w:pPr>
        <w:pStyle w:val="BodyText"/>
      </w:pPr>
      <w:r>
        <w:t xml:space="preserve">This V5 revision extends the Objectives as Modalities </w:t>
      </w:r>
      <w:r w:rsidR="00825DB9">
        <w:t>version</w:t>
      </w:r>
      <w:r>
        <w:t xml:space="preserve"> and source archive [21], within the ADE collection [3]. Sections 2–4 treat preferences, interval Pareto decisions and fusion. Sections 5–8 treat ranks, archive consistency, observation protocols and metrics. Section 9 separates retained V4 records from new exact checks and an arithmetic audit. Sections 10–11 retain the neuroscience and construction-harness context. Appendices give proof details, the reference kernel and source settings. No V4 quadrature, random-seed study or engineering benchmark is rerun.</w:t>
      </w:r>
    </w:p>
    <w:p w14:paraId="5EE656A4" w14:textId="77777777" w:rsidR="00D84A52" w:rsidRDefault="00000000">
      <w:pPr>
        <w:pStyle w:val="Heading1"/>
      </w:pPr>
      <w:bookmarkStart w:id="2" w:name="Xa28f725ae71d594fd05da1b1720f71fddd43606"/>
      <w:bookmarkEnd w:id="1"/>
      <w:r>
        <w:t>2 Objectives constraints and calibrated preferences</w:t>
      </w:r>
    </w:p>
    <w:p w14:paraId="4596B24F" w14:textId="77777777" w:rsidR="00D84A52" w:rsidRDefault="00000000">
      <w:pPr>
        <w:pStyle w:val="Heading2"/>
      </w:pPr>
      <w:bookmarkStart w:id="3" w:name="domain-and-efficiency"/>
      <w:r>
        <w:t>2.1 Domain and efficiency</w:t>
      </w:r>
    </w:p>
    <w:p w14:paraId="41436DA5" w14:textId="77777777" w:rsidR="00D84A52" w:rsidRDefault="00000000">
      <w:pPr>
        <w:pStyle w:val="FirstParagraph"/>
      </w:pPr>
      <w:r>
        <w:t xml:space="preserve">Let </w:t>
      </w:r>
      <m:oMath>
        <m:r>
          <m:rPr>
            <m:scr m:val="script"/>
            <m:sty m:val="p"/>
          </m:rPr>
          <w:rPr>
            <w:rFonts w:ascii="Cambria Math" w:hAnsi="Cambria Math"/>
          </w:rPr>
          <m:t>X</m:t>
        </m:r>
      </m:oMath>
      <w:r>
        <w:t xml:space="preserve"> be a standard Borel design space, </w:t>
      </w:r>
      <m:oMath>
        <m:r>
          <m:rPr>
            <m:scr m:val="script"/>
            <m:sty m:val="p"/>
          </m:rPr>
          <w:rPr>
            <w:rFonts w:ascii="Cambria Math" w:hAnsi="Cambria Math"/>
          </w:rPr>
          <m:t>C⊆X</m:t>
        </m:r>
      </m:oMath>
      <w:r>
        <w:t xml:space="preserve"> a measurable feasible set, and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 vector of measurable minimized objectives. For objective vectors </w:t>
      </w:r>
      <m:oMath>
        <m:r>
          <w:rPr>
            <w:rFonts w:ascii="Cambria Math" w:hAnsi="Cambria Math"/>
          </w:rPr>
          <m:t>u</m:t>
        </m:r>
        <m:r>
          <m:rPr>
            <m:sty m:val="p"/>
          </m:rPr>
          <w:rPr>
            <w:rFonts w:ascii="Cambria Math" w:hAnsi="Cambria Math"/>
          </w:rPr>
          <m:t>,</m:t>
        </m:r>
        <m:r>
          <w:rPr>
            <w:rFonts w:ascii="Cambria Math" w:hAnsi="Cambria Math"/>
          </w:rPr>
          <m:t>v</m:t>
        </m:r>
      </m:oMath>
      <w:r>
        <w:t xml:space="preserve">, write </w:t>
      </w:r>
      <m:oMath>
        <m:r>
          <w:rPr>
            <w:rFonts w:ascii="Cambria Math" w:hAnsi="Cambria Math"/>
          </w:rPr>
          <m:t>u</m:t>
        </m:r>
        <m:r>
          <m:rPr>
            <m:sty m:val="p"/>
          </m:rPr>
          <w:rPr>
            <w:rFonts w:ascii="Cambria Math" w:hAnsi="Cambria Math"/>
          </w:rPr>
          <m:t>≺</m:t>
        </m:r>
        <m:r>
          <w:rPr>
            <w:rFonts w:ascii="Cambria Math" w:hAnsi="Cambria Math"/>
          </w:rPr>
          <m:t>v</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and at least one inequality is strict. A feasible design is Pareto efficient if no feasible design dominates it, and weakly efficient if no feasible design strictly improves every coordinate. Neither definition refers to the probability of sampling that design.</w:t>
      </w:r>
    </w:p>
    <w:p w14:paraId="52D230D3" w14:textId="77777777" w:rsidR="00D84A52" w:rsidRDefault="00000000">
      <w:pPr>
        <w:pStyle w:val="BodyText"/>
        <w:keepNext/>
      </w:pPr>
      <w:r>
        <w:t xml:space="preserve">A probability measure </w:t>
      </w:r>
      <m:oMath>
        <m:r>
          <w:rPr>
            <w:rFonts w:ascii="Cambria Math" w:hAnsi="Cambria Math"/>
          </w:rPr>
          <m:t>μ</m:t>
        </m:r>
      </m:oMath>
      <w:r>
        <w:t xml:space="preserve"> specifies the reference design law. It can contain continuous coordinates, categorical choices, and atoms. Choose fixed offsets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positive physical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and define</w:t>
      </w:r>
    </w:p>
    <w:p w14:paraId="64A7FF58"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e>
          </m:d>
          <m:r>
            <m:rPr>
              <m:sty m:val="p"/>
            </m:rPr>
            <w:rPr>
              <w:rFonts w:ascii="Cambria Math" w:hAnsi="Cambria Math"/>
            </w:rPr>
            <m:t>.</m:t>
          </m:r>
          <m:r>
            <m:rPr>
              <m:nor/>
            </m:rPr>
            <m:t xml:space="preserve">    (1)</m:t>
          </m:r>
        </m:oMath>
      </m:oMathPara>
    </w:p>
    <w:p w14:paraId="1BFBB401" w14:textId="77777777" w:rsidR="00D84A52" w:rsidRDefault="00000000">
      <w:pPr>
        <w:pStyle w:val="FirstParagraph"/>
      </w:pPr>
      <w:r>
        <w:t xml:space="preserve">When using bounded exponential weights, choose known lower bounds so that the relevant losses are nonnegative, or subtract a fixed known lower bound from each scalar loss. The scale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converts physical units into a declared tradeoff. It is not a measurement standard deviation unless a separate statistical model justifies that interpretation.</w:t>
      </w:r>
    </w:p>
    <w:p w14:paraId="22354675" w14:textId="77777777" w:rsidR="00D84A52" w:rsidRDefault="00000000">
      <w:pPr>
        <w:pStyle w:val="BodyText"/>
      </w:pPr>
      <w:r>
        <w:t xml:space="preserve">Hard constraints can be imposed by restricting the reference to </w:t>
      </w:r>
      <m:oMath>
        <m:r>
          <m:rPr>
            <m:scr m:val="script"/>
            <m:sty m:val="p"/>
          </m:rPr>
          <w:rPr>
            <w:rFonts w:ascii="Cambria Math" w:hAnsi="Cambria Math"/>
          </w:rPr>
          <m:t>C</m:t>
        </m:r>
      </m:oMath>
      <w:r>
        <w:t xml:space="preserve">, when that conditional reference exists, or by multiplying the unnormalized target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oMath>
      <w:r>
        <w:t>. A finite penalty produces a soft preference for fewer violations; it does not guarantee engineering feasibility. Posterior means and fused head outputs require a fresh feasibility check because averaging feasible discrete or nonlinear designs can leave the feasible set.</w:t>
      </w:r>
    </w:p>
    <w:p w14:paraId="70DCC3E7" w14:textId="77777777" w:rsidR="00D84A52" w:rsidRDefault="00000000">
      <w:pPr>
        <w:pStyle w:val="Heading2"/>
      </w:pPr>
      <w:bookmarkStart w:id="4" w:name="X90d5236ac4f71016e380c34ba735599c0d71ef0"/>
      <w:bookmarkEnd w:id="3"/>
      <w:r>
        <w:t>2.2 Four objects that must not share one weight</w:t>
      </w:r>
    </w:p>
    <w:p w14:paraId="6054671B" w14:textId="77777777" w:rsidR="00D84A52" w:rsidRDefault="00000000">
      <w:pPr>
        <w:pStyle w:val="FirstParagraph"/>
      </w:pPr>
      <w:r>
        <w:t xml:space="preserve">The preference </w:t>
      </w:r>
      <m:oMath>
        <m:r>
          <w:rPr>
            <w:rFonts w:ascii="Cambria Math" w:hAnsi="Cambria Math"/>
          </w:rPr>
          <m:t>λ</m:t>
        </m:r>
      </m:oMath>
      <w:r>
        <w:t xml:space="preserve"> describes how objectives are valued. The inverse temperature </w:t>
      </w:r>
      <m:oMath>
        <m:r>
          <w:rPr>
            <w:rFonts w:ascii="Cambria Math" w:hAnsi="Cambria Math"/>
          </w:rPr>
          <m:t>β</m:t>
        </m:r>
      </m:oMath>
      <w:r>
        <w:t xml:space="preserve"> describes the strength of that preference relative to the reference measure. The proposal law describes how candidates are actually generated. A measurement model describes how uncertain responses or parameters produce observations. Their parameters may interact in a controller, but their meanings remain distinct.</w:t>
      </w:r>
    </w:p>
    <w:p w14:paraId="2104701F" w14:textId="77777777" w:rsidR="00D84A52" w:rsidRDefault="00000000">
      <w:pPr>
        <w:pStyle w:val="BodyText"/>
        <w:keepNext/>
      </w:pPr>
      <w:r>
        <w:lastRenderedPageBreak/>
        <w:t xml:space="preserve">For a measurable scalar loss </w:t>
      </w:r>
      <m:oMath>
        <m:r>
          <w:rPr>
            <w:rFonts w:ascii="Cambria Math" w:hAnsi="Cambria Math"/>
          </w:rPr>
          <m:t>S</m:t>
        </m:r>
      </m:oMath>
      <w:r>
        <w:t>, the Gibbs preference target is</w:t>
      </w:r>
    </w:p>
    <w:p w14:paraId="424E0BA9"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m:rPr>
              <m:nor/>
            </m:rPr>
            <m:t>    </m:t>
          </m:r>
          <m:r>
            <w:rPr>
              <w:rFonts w:ascii="Cambria Math" w:hAnsi="Cambria Math"/>
            </w:rPr>
            <m:t>dμ</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r>
            <m:rPr>
              <m:nor/>
            </m:rPr>
            <m:t xml:space="preserve">    (2)</m:t>
          </m:r>
        </m:oMath>
      </m:oMathPara>
    </w:p>
    <w:p w14:paraId="4722274A" w14:textId="77777777" w:rsidR="00D84A52" w:rsidRDefault="00000000">
      <w:pPr>
        <w:pStyle w:val="FirstParagraph"/>
      </w:pPr>
      <w:r>
        <w:t xml:space="preserve">Assume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This is a generalized-Bayes loss tilt [4]. It is not automatically a likelihood for measured physical data, a probability of code compliance, or a posterior over material uncertainty. Those require their own observation and uncertainty models.</w:t>
      </w:r>
    </w:p>
    <w:p w14:paraId="044A1402" w14:textId="77777777" w:rsidR="00D84A52" w:rsidRDefault="00000000">
      <w:pPr>
        <w:pStyle w:val="Caption"/>
        <w:keepNext/>
      </w:pPr>
      <w:r>
        <w:t>Table 1. Fusion rules and the objects they define.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800"/>
        <w:gridCol w:w="4032"/>
        <w:gridCol w:w="4104"/>
      </w:tblGrid>
      <w:tr w:rsidR="00D84A52" w14:paraId="72E5B8B9" w14:textId="77777777">
        <w:trPr>
          <w:cantSplit/>
          <w:tblHeader/>
          <w:jc w:val="center"/>
        </w:trPr>
        <w:tc>
          <w:tcPr>
            <w:tcW w:w="1800" w:type="dxa"/>
            <w:shd w:val="clear" w:color="auto" w:fill="E8E8E8"/>
            <w:tcMar>
              <w:top w:w="80" w:type="dxa"/>
              <w:left w:w="85" w:type="dxa"/>
              <w:bottom w:w="80" w:type="dxa"/>
              <w:right w:w="85" w:type="dxa"/>
            </w:tcMar>
            <w:vAlign w:val="center"/>
          </w:tcPr>
          <w:p w14:paraId="28EE4733" w14:textId="77777777" w:rsidR="00D84A52" w:rsidRDefault="00000000">
            <w:pPr>
              <w:keepNext/>
              <w:keepLines/>
              <w:spacing w:after="20" w:line="240" w:lineRule="auto"/>
              <w:jc w:val="left"/>
            </w:pPr>
            <w:r>
              <w:rPr>
                <w:b/>
                <w:sz w:val="20"/>
              </w:rPr>
              <w:t>Rule</w:t>
            </w:r>
          </w:p>
        </w:tc>
        <w:tc>
          <w:tcPr>
            <w:tcW w:w="4032" w:type="dxa"/>
            <w:shd w:val="clear" w:color="auto" w:fill="E8E8E8"/>
            <w:tcMar>
              <w:top w:w="80" w:type="dxa"/>
              <w:left w:w="85" w:type="dxa"/>
              <w:bottom w:w="80" w:type="dxa"/>
              <w:right w:w="85" w:type="dxa"/>
            </w:tcMar>
            <w:vAlign w:val="center"/>
          </w:tcPr>
          <w:p w14:paraId="582E4B63" w14:textId="77777777" w:rsidR="00D84A52" w:rsidRDefault="00000000">
            <w:pPr>
              <w:keepNext/>
              <w:keepLines/>
              <w:spacing w:after="20" w:line="240" w:lineRule="auto"/>
              <w:jc w:val="left"/>
            </w:pPr>
            <w:r>
              <w:rPr>
                <w:b/>
                <w:sz w:val="20"/>
              </w:rPr>
              <w:t>Mathematical object</w:t>
            </w:r>
          </w:p>
        </w:tc>
        <w:tc>
          <w:tcPr>
            <w:tcW w:w="4104" w:type="dxa"/>
            <w:shd w:val="clear" w:color="auto" w:fill="E8E8E8"/>
            <w:tcMar>
              <w:top w:w="80" w:type="dxa"/>
              <w:left w:w="85" w:type="dxa"/>
              <w:bottom w:w="80" w:type="dxa"/>
              <w:right w:w="85" w:type="dxa"/>
            </w:tcMar>
            <w:vAlign w:val="center"/>
          </w:tcPr>
          <w:p w14:paraId="030F0955" w14:textId="77777777" w:rsidR="00D84A52" w:rsidRDefault="00000000">
            <w:pPr>
              <w:keepNext/>
              <w:keepLines/>
              <w:spacing w:after="20" w:line="240" w:lineRule="auto"/>
              <w:jc w:val="left"/>
            </w:pPr>
            <w:r>
              <w:rPr>
                <w:b/>
                <w:sz w:val="20"/>
              </w:rPr>
              <w:t>Interpretation</w:t>
            </w:r>
          </w:p>
        </w:tc>
      </w:tr>
      <w:tr w:rsidR="00D84A52" w14:paraId="236EB2E7" w14:textId="77777777">
        <w:trPr>
          <w:cantSplit/>
          <w:jc w:val="center"/>
        </w:trPr>
        <w:tc>
          <w:tcPr>
            <w:tcW w:w="1800" w:type="dxa"/>
            <w:shd w:val="clear" w:color="auto" w:fill="FFFFFF"/>
            <w:tcMar>
              <w:top w:w="80" w:type="dxa"/>
              <w:left w:w="85" w:type="dxa"/>
              <w:bottom w:w="80" w:type="dxa"/>
              <w:right w:w="85" w:type="dxa"/>
            </w:tcMar>
            <w:vAlign w:val="center"/>
          </w:tcPr>
          <w:p w14:paraId="71EC8FE9" w14:textId="77777777" w:rsidR="00D84A52" w:rsidRDefault="00000000">
            <w:pPr>
              <w:keepNext/>
              <w:keepLines/>
              <w:spacing w:after="20" w:line="240" w:lineRule="auto"/>
              <w:jc w:val="left"/>
            </w:pPr>
            <w:r>
              <w:rPr>
                <w:sz w:val="20"/>
              </w:rPr>
              <w:t>Early fusion</w:t>
            </w:r>
          </w:p>
        </w:tc>
        <w:tc>
          <w:tcPr>
            <w:tcW w:w="4032" w:type="dxa"/>
            <w:shd w:val="clear" w:color="auto" w:fill="FFFFFF"/>
            <w:tcMar>
              <w:top w:w="80" w:type="dxa"/>
              <w:left w:w="85" w:type="dxa"/>
              <w:bottom w:w="80" w:type="dxa"/>
              <w:right w:w="85" w:type="dxa"/>
            </w:tcMar>
            <w:vAlign w:val="center"/>
          </w:tcPr>
          <w:p w14:paraId="1B59D469" w14:textId="77777777" w:rsidR="00D84A52" w:rsidRDefault="00000000">
            <w:pPr>
              <w:keepNext/>
              <w:keepLines/>
              <w:spacing w:after="20" w:line="24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m:oMathPara>
          </w:p>
        </w:tc>
        <w:tc>
          <w:tcPr>
            <w:tcW w:w="4104" w:type="dxa"/>
            <w:shd w:val="clear" w:color="auto" w:fill="FFFFFF"/>
            <w:tcMar>
              <w:top w:w="80" w:type="dxa"/>
              <w:left w:w="85" w:type="dxa"/>
              <w:bottom w:w="80" w:type="dxa"/>
              <w:right w:w="85" w:type="dxa"/>
            </w:tcMar>
            <w:vAlign w:val="center"/>
          </w:tcPr>
          <w:p w14:paraId="60366FDF" w14:textId="77777777" w:rsidR="00D84A52" w:rsidRDefault="00000000">
            <w:pPr>
              <w:keepNext/>
              <w:keepLines/>
              <w:spacing w:after="20" w:line="240" w:lineRule="auto"/>
              <w:jc w:val="left"/>
            </w:pPr>
            <w:r>
              <w:rPr>
                <w:sz w:val="20"/>
              </w:rPr>
              <w:t>One joint preference over all objectives</w:t>
            </w:r>
          </w:p>
        </w:tc>
      </w:tr>
      <w:tr w:rsidR="00D84A52" w14:paraId="3DC6B1E2" w14:textId="77777777">
        <w:trPr>
          <w:cantSplit/>
          <w:jc w:val="center"/>
        </w:trPr>
        <w:tc>
          <w:tcPr>
            <w:tcW w:w="1800" w:type="dxa"/>
            <w:shd w:val="clear" w:color="auto" w:fill="FFFFFF"/>
            <w:tcMar>
              <w:top w:w="80" w:type="dxa"/>
              <w:left w:w="85" w:type="dxa"/>
              <w:bottom w:w="80" w:type="dxa"/>
              <w:right w:w="85" w:type="dxa"/>
            </w:tcMar>
            <w:vAlign w:val="center"/>
          </w:tcPr>
          <w:p w14:paraId="68D2092E" w14:textId="77777777" w:rsidR="00D84A52" w:rsidRDefault="00000000">
            <w:pPr>
              <w:keepNext/>
              <w:keepLines/>
              <w:spacing w:after="20" w:line="240" w:lineRule="auto"/>
              <w:jc w:val="left"/>
            </w:pPr>
            <w:r>
              <w:rPr>
                <w:sz w:val="20"/>
              </w:rPr>
              <w:t>Chebyshev fusion</w:t>
            </w:r>
          </w:p>
        </w:tc>
        <w:tc>
          <w:tcPr>
            <w:tcW w:w="4032" w:type="dxa"/>
            <w:shd w:val="clear" w:color="auto" w:fill="FFFFFF"/>
            <w:tcMar>
              <w:top w:w="80" w:type="dxa"/>
              <w:left w:w="85" w:type="dxa"/>
              <w:bottom w:w="80" w:type="dxa"/>
              <w:right w:w="85" w:type="dxa"/>
            </w:tcMar>
            <w:vAlign w:val="center"/>
          </w:tcPr>
          <w:p w14:paraId="5CB70B91" w14:textId="77777777" w:rsidR="00D84A52" w:rsidRDefault="00000000">
            <w:pPr>
              <w:keepNext/>
              <w:keepLines/>
              <w:spacing w:after="20" w:line="240" w:lineRule="auto"/>
              <w:jc w:val="left"/>
            </w:pPr>
            <m:oMathPara>
              <m:oMath>
                <m:sSub>
                  <m:sSubPr>
                    <m:ctrlPr>
                      <w:rPr>
                        <w:rFonts w:ascii="Cambria Math" w:hAnsi="Cambria Math"/>
                      </w:rPr>
                    </m:ctrlPr>
                  </m:sSubPr>
                  <m:e>
                    <m:r>
                      <w:rPr>
                        <w:rFonts w:ascii="Cambria Math" w:hAnsi="Cambria Math"/>
                      </w:rPr>
                      <m:t>T</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tc>
        <w:tc>
          <w:tcPr>
            <w:tcW w:w="4104" w:type="dxa"/>
            <w:shd w:val="clear" w:color="auto" w:fill="FFFFFF"/>
            <w:tcMar>
              <w:top w:w="80" w:type="dxa"/>
              <w:left w:w="85" w:type="dxa"/>
              <w:bottom w:w="80" w:type="dxa"/>
              <w:right w:w="85" w:type="dxa"/>
            </w:tcMar>
            <w:vAlign w:val="center"/>
          </w:tcPr>
          <w:p w14:paraId="75439C0E" w14:textId="77777777" w:rsidR="00D84A52" w:rsidRDefault="00000000">
            <w:pPr>
              <w:keepNext/>
              <w:keepLines/>
              <w:spacing w:after="20" w:line="240" w:lineRule="auto"/>
              <w:jc w:val="left"/>
            </w:pPr>
            <w:r>
              <w:rPr>
                <w:sz w:val="20"/>
              </w:rPr>
              <w:t>Preference for the largest weighted shortfall</w:t>
            </w:r>
          </w:p>
        </w:tc>
      </w:tr>
      <w:tr w:rsidR="00D84A52" w14:paraId="1282418C" w14:textId="77777777">
        <w:trPr>
          <w:cantSplit/>
          <w:jc w:val="center"/>
        </w:trPr>
        <w:tc>
          <w:tcPr>
            <w:tcW w:w="1800" w:type="dxa"/>
            <w:shd w:val="clear" w:color="auto" w:fill="FFFFFF"/>
            <w:tcMar>
              <w:top w:w="80" w:type="dxa"/>
              <w:left w:w="85" w:type="dxa"/>
              <w:bottom w:w="80" w:type="dxa"/>
              <w:right w:w="85" w:type="dxa"/>
            </w:tcMar>
            <w:vAlign w:val="center"/>
          </w:tcPr>
          <w:p w14:paraId="0AA2FB0E" w14:textId="77777777" w:rsidR="00D84A52" w:rsidRDefault="00000000">
            <w:pPr>
              <w:keepNext/>
              <w:keepLines/>
              <w:spacing w:after="20" w:line="240" w:lineRule="auto"/>
              <w:jc w:val="left"/>
            </w:pPr>
            <w:r>
              <w:rPr>
                <w:sz w:val="20"/>
              </w:rPr>
              <w:t>Late fusion</w:t>
            </w:r>
          </w:p>
        </w:tc>
        <w:tc>
          <w:tcPr>
            <w:tcW w:w="4032" w:type="dxa"/>
            <w:shd w:val="clear" w:color="auto" w:fill="FFFFFF"/>
            <w:tcMar>
              <w:top w:w="80" w:type="dxa"/>
              <w:left w:w="85" w:type="dxa"/>
              <w:bottom w:w="80" w:type="dxa"/>
              <w:right w:w="85" w:type="dxa"/>
            </w:tcMar>
            <w:vAlign w:val="center"/>
          </w:tcPr>
          <w:p w14:paraId="2985F44C" w14:textId="77777777" w:rsidR="00D84A52" w:rsidRDefault="00000000">
            <w:pPr>
              <w:keepNext/>
              <w:keepLines/>
              <w:spacing w:after="20" w:line="240" w:lineRule="auto"/>
              <w:jc w:val="left"/>
            </w:pPr>
            <m:oMathPara>
              <m:oMath>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m:oMathPara>
          </w:p>
        </w:tc>
        <w:tc>
          <w:tcPr>
            <w:tcW w:w="4104" w:type="dxa"/>
            <w:shd w:val="clear" w:color="auto" w:fill="FFFFFF"/>
            <w:tcMar>
              <w:top w:w="80" w:type="dxa"/>
              <w:left w:w="85" w:type="dxa"/>
              <w:bottom w:w="80" w:type="dxa"/>
              <w:right w:w="85" w:type="dxa"/>
            </w:tcMar>
            <w:vAlign w:val="center"/>
          </w:tcPr>
          <w:p w14:paraId="12F9C188" w14:textId="77777777" w:rsidR="00D84A52" w:rsidRDefault="00000000">
            <w:pPr>
              <w:keepNext/>
              <w:keepLines/>
              <w:spacing w:after="20" w:line="240" w:lineRule="auto"/>
              <w:jc w:val="left"/>
            </w:pPr>
            <w:r>
              <w:rPr>
                <w:sz w:val="20"/>
              </w:rPr>
              <w:t>Mixture of separately normalized targets</w:t>
            </w:r>
          </w:p>
        </w:tc>
      </w:tr>
      <w:tr w:rsidR="00D84A52" w14:paraId="6540CA53" w14:textId="77777777">
        <w:trPr>
          <w:cantSplit/>
          <w:jc w:val="center"/>
        </w:trPr>
        <w:tc>
          <w:tcPr>
            <w:tcW w:w="1800" w:type="dxa"/>
            <w:shd w:val="clear" w:color="auto" w:fill="FFFFFF"/>
            <w:tcMar>
              <w:top w:w="80" w:type="dxa"/>
              <w:left w:w="85" w:type="dxa"/>
              <w:bottom w:w="80" w:type="dxa"/>
              <w:right w:w="85" w:type="dxa"/>
            </w:tcMar>
            <w:vAlign w:val="center"/>
          </w:tcPr>
          <w:p w14:paraId="2A1941BF" w14:textId="77777777" w:rsidR="00D84A52" w:rsidRDefault="00000000">
            <w:pPr>
              <w:keepNext/>
              <w:keepLines/>
              <w:spacing w:after="20" w:line="240" w:lineRule="auto"/>
              <w:jc w:val="left"/>
            </w:pPr>
            <w:r>
              <w:rPr>
                <w:sz w:val="20"/>
              </w:rPr>
              <w:t>Current archive rank</w:t>
            </w:r>
          </w:p>
        </w:tc>
        <w:tc>
          <w:tcPr>
            <w:tcW w:w="4032" w:type="dxa"/>
            <w:shd w:val="clear" w:color="auto" w:fill="FFFFFF"/>
            <w:tcMar>
              <w:top w:w="80" w:type="dxa"/>
              <w:left w:w="85" w:type="dxa"/>
              <w:bottom w:w="80" w:type="dxa"/>
              <w:right w:w="85" w:type="dxa"/>
            </w:tcMar>
            <w:vAlign w:val="center"/>
          </w:tcPr>
          <w:p w14:paraId="25FC0478" w14:textId="77777777" w:rsidR="00D84A52" w:rsidRDefault="00000000">
            <w:pPr>
              <w:keepNext/>
              <w:keepLines/>
              <w:spacing w:after="20" w:line="240" w:lineRule="auto"/>
              <w:jc w:val="left"/>
            </w:pPr>
            <m:oMathPara>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N</m:t>
                        </m:r>
                      </m:sub>
                    </m:sSub>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tc>
        <w:tc>
          <w:tcPr>
            <w:tcW w:w="4104" w:type="dxa"/>
            <w:shd w:val="clear" w:color="auto" w:fill="FFFFFF"/>
            <w:tcMar>
              <w:top w:w="80" w:type="dxa"/>
              <w:left w:w="85" w:type="dxa"/>
              <w:bottom w:w="80" w:type="dxa"/>
              <w:right w:w="85" w:type="dxa"/>
            </w:tcMar>
            <w:vAlign w:val="center"/>
          </w:tcPr>
          <w:p w14:paraId="50443F64" w14:textId="77777777" w:rsidR="00D84A52" w:rsidRDefault="00000000">
            <w:pPr>
              <w:keepNext/>
              <w:keepLines/>
              <w:spacing w:after="20" w:line="240" w:lineRule="auto"/>
              <w:jc w:val="left"/>
            </w:pPr>
            <w:r>
              <w:rPr>
                <w:sz w:val="20"/>
              </w:rPr>
              <w:t>Adaptive proposal signal</w:t>
            </w:r>
          </w:p>
        </w:tc>
      </w:tr>
      <w:tr w:rsidR="00D84A52" w14:paraId="056C7AC5" w14:textId="77777777">
        <w:trPr>
          <w:cantSplit/>
          <w:jc w:val="center"/>
        </w:trPr>
        <w:tc>
          <w:tcPr>
            <w:tcW w:w="1800" w:type="dxa"/>
            <w:shd w:val="clear" w:color="auto" w:fill="FFFFFF"/>
            <w:tcMar>
              <w:top w:w="80" w:type="dxa"/>
              <w:left w:w="85" w:type="dxa"/>
              <w:bottom w:w="80" w:type="dxa"/>
              <w:right w:w="85" w:type="dxa"/>
            </w:tcMar>
            <w:vAlign w:val="center"/>
          </w:tcPr>
          <w:p w14:paraId="019EBAAE" w14:textId="77777777" w:rsidR="00D84A52" w:rsidRDefault="00000000">
            <w:pPr>
              <w:keepLines/>
              <w:spacing w:after="20" w:line="240" w:lineRule="auto"/>
              <w:jc w:val="left"/>
            </w:pPr>
            <w:r>
              <w:rPr>
                <w:sz w:val="20"/>
              </w:rPr>
              <w:t>Frozen reference rank</w:t>
            </w:r>
          </w:p>
        </w:tc>
        <w:tc>
          <w:tcPr>
            <w:tcW w:w="4032" w:type="dxa"/>
            <w:shd w:val="clear" w:color="auto" w:fill="FFFFFF"/>
            <w:tcMar>
              <w:top w:w="80" w:type="dxa"/>
              <w:left w:w="85" w:type="dxa"/>
              <w:bottom w:w="80" w:type="dxa"/>
              <w:right w:w="85" w:type="dxa"/>
            </w:tcMar>
            <w:vAlign w:val="center"/>
          </w:tcPr>
          <w:p w14:paraId="416C6799" w14:textId="77777777" w:rsidR="00D84A52" w:rsidRDefault="00000000">
            <w:pPr>
              <w:keepLines/>
              <w:spacing w:after="20" w:line="240" w:lineRule="auto"/>
              <w:jc w:val="left"/>
            </w:pP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w:r>
              <w:rPr>
                <w:sz w:val="20"/>
              </w:rPr>
              <w:t xml:space="preserve"> with fixed </w:t>
            </w:r>
            <m:oMath>
              <m:r>
                <w:rPr>
                  <w:rFonts w:ascii="Cambria Math" w:hAnsi="Cambria Math"/>
                </w:rPr>
                <m:t>A</m:t>
              </m:r>
            </m:oMath>
          </w:p>
        </w:tc>
        <w:tc>
          <w:tcPr>
            <w:tcW w:w="4104" w:type="dxa"/>
            <w:shd w:val="clear" w:color="auto" w:fill="FFFFFF"/>
            <w:tcMar>
              <w:top w:w="80" w:type="dxa"/>
              <w:left w:w="85" w:type="dxa"/>
              <w:bottom w:w="80" w:type="dxa"/>
              <w:right w:w="85" w:type="dxa"/>
            </w:tcMar>
            <w:vAlign w:val="center"/>
          </w:tcPr>
          <w:p w14:paraId="76CF2FDF" w14:textId="77777777" w:rsidR="00D84A52" w:rsidRDefault="00000000">
            <w:pPr>
              <w:keepLines/>
              <w:spacing w:after="20" w:line="240" w:lineRule="auto"/>
              <w:jc w:val="left"/>
            </w:pPr>
            <w:r>
              <w:rPr>
                <w:sz w:val="20"/>
              </w:rPr>
              <w:t>A fixed finite-level preference loss</w:t>
            </w:r>
          </w:p>
        </w:tc>
      </w:tr>
    </w:tbl>
    <w:p w14:paraId="2DAE9BAD" w14:textId="77777777" w:rsidR="00D84A52" w:rsidRDefault="00000000">
      <w:pPr>
        <w:pStyle w:val="Heading1"/>
      </w:pPr>
      <w:bookmarkStart w:id="5" w:name="scalar-fusion-and-pareto-reachability"/>
      <w:bookmarkEnd w:id="2"/>
      <w:bookmarkEnd w:id="4"/>
      <w:r>
        <w:t>3 Scalar fusion and Pareto reachability</w:t>
      </w:r>
    </w:p>
    <w:p w14:paraId="1E9719F6" w14:textId="77777777" w:rsidR="00D84A52" w:rsidRDefault="00000000">
      <w:pPr>
        <w:pStyle w:val="Heading2"/>
      </w:pPr>
      <w:bookmarkStart w:id="6" w:name="weighted-sums-and-low-temperature"/>
      <w:r>
        <w:t>3.1 Weighted sums and low temperature</w:t>
      </w:r>
    </w:p>
    <w:p w14:paraId="25CBAB3D" w14:textId="77777777" w:rsidR="00D84A52" w:rsidRDefault="00000000">
      <w:pPr>
        <w:pStyle w:val="FirstParagraph"/>
        <w:keepNext/>
      </w:pPr>
      <w:r>
        <w:t xml:space="preserve">For early fusion, substituting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into (2) gives</w:t>
      </w:r>
    </w:p>
    <w:p w14:paraId="117517D5"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d>
            <m:dPr>
              <m:ctrlPr>
                <w:rPr>
                  <w:rFonts w:ascii="Cambria Math" w:hAnsi="Cambria Math"/>
                </w:rPr>
              </m:ctrlPr>
            </m:dPr>
            <m:e>
              <m:r>
                <w:rPr>
                  <w:rFonts w:ascii="Cambria Math" w:hAnsi="Cambria Math"/>
                </w:rPr>
                <m:t>dx</m:t>
              </m:r>
            </m:e>
          </m:d>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e>
              </m:nary>
            </m:e>
          </m:d>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xml:space="preserve">    (3)</m:t>
          </m:r>
        </m:oMath>
      </m:oMathPara>
    </w:p>
    <w:p w14:paraId="54200398" w14:textId="77777777" w:rsidR="00D84A52" w:rsidRDefault="00000000">
      <w:pPr>
        <w:pStyle w:val="FirstParagraph"/>
      </w:pPr>
      <w:r>
        <w:t>The factors express objective preferences. Their multiplication requires no independence assumption because (3) defines a loss tilt. If they were claimed to be likelihoods of separate measured data streams, multiplying them would instead require the appropriate conditional joint model. The reference measure appears once; multiplying full prior-bearing densities without correcting their repeated priors gives a different target.</w:t>
      </w:r>
    </w:p>
    <w:p w14:paraId="6B36C76A" w14:textId="77777777" w:rsidR="00D84A52" w:rsidRDefault="00000000">
      <w:pPr>
        <w:pStyle w:val="BodyText"/>
        <w:keepLines/>
      </w:pPr>
      <w:r>
        <w:rPr>
          <w:b/>
          <w:bCs/>
        </w:rPr>
        <w:t>Proposition 3.1 — Weighted-sum efficiency.</w:t>
      </w:r>
      <w:r>
        <w:t xml:space="preserve"> If every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every attained minimizer of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is Pareto efficient. With nonnegative weights, zero-weight objectives can permit dominated minimizers.</w:t>
      </w:r>
    </w:p>
    <w:p w14:paraId="2F8D2E9C" w14:textId="77777777" w:rsidR="00D84A52" w:rsidRDefault="00000000">
      <w:pPr>
        <w:pStyle w:val="BodyText"/>
      </w:pPr>
      <w:r>
        <w:rPr>
          <w:b/>
          <w:bCs/>
        </w:rPr>
        <w:t>Proof.</w:t>
      </w:r>
      <w:r>
        <w:t xml:space="preserve"> A dominating feasible vector weakly decreases every term and strictly decreases at least one term with positive weight. It would strictly decrease the sum, contradicting minimality. For the zero-weight case,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tie under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although the latter dominates the former. </w:t>
      </w:r>
      <m:oMath>
        <m:r>
          <m:rPr>
            <m:sty m:val="p"/>
          </m:rPr>
          <w:rPr>
            <w:rFonts w:ascii="Cambria Math" w:hAnsi="Cambria Math"/>
          </w:rPr>
          <m:t>▫</m:t>
        </m:r>
      </m:oMath>
    </w:p>
    <w:p w14:paraId="5641EF50" w14:textId="77777777" w:rsidR="00D84A52" w:rsidRDefault="00000000">
      <w:pPr>
        <w:pStyle w:val="BodyText"/>
      </w:pPr>
      <w:r>
        <w:t xml:space="preserve">On the concave objective front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positive weights give the strictly concave function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Its minimum is at an endpoint; both endpoints can minimize at a tie. Weighted sums therefore do not recover every interior efficient vector of this front as scalar minimizers [5]. This is a statement about scalar minimizers, not a universal prediction for finite ADE trajectories.</w:t>
      </w:r>
    </w:p>
    <w:p w14:paraId="3A86A555" w14:textId="77777777" w:rsidR="00D84A52" w:rsidRDefault="00000000">
      <w:pPr>
        <w:pStyle w:val="BodyText"/>
        <w:keepLines/>
      </w:pPr>
      <w:r>
        <w:rPr>
          <w:b/>
          <w:bCs/>
        </w:rPr>
        <w:t>Lemma 3.2 — Concentration requires accessible neighborhoods.</w:t>
      </w:r>
      <w:r>
        <w:t xml:space="preserve"> Let </w:t>
      </w:r>
      <m:oMath>
        <m:r>
          <m:rPr>
            <m:scr m:val="script"/>
            <m:sty m:val="p"/>
          </m:rPr>
          <w:rPr>
            <w:rFonts w:ascii="Cambria Math" w:hAnsi="Cambria Math"/>
          </w:rPr>
          <m:t>X</m:t>
        </m:r>
      </m:oMath>
      <w:r>
        <w:t xml:space="preserve"> be compact, </w:t>
      </w:r>
      <m:oMath>
        <m:r>
          <w:rPr>
            <w:rFonts w:ascii="Cambria Math" w:hAnsi="Cambria Math"/>
          </w:rPr>
          <m:t>S</m:t>
        </m:r>
      </m:oMath>
      <w:r>
        <w:t xml:space="preserve"> continuous, and </w:t>
      </w:r>
      <m:oMath>
        <m:r>
          <w:rPr>
            <w:rFonts w:ascii="Cambria Math" w:hAnsi="Cambria Math"/>
          </w:rPr>
          <m:t>μ</m:t>
        </m:r>
      </m:oMath>
      <w:r>
        <w:t xml:space="preserve"> have full topological support. Then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 xml:space="preserve"> concentrates in every neighborhood of </w:t>
      </w:r>
      <m:oMath>
        <m:r>
          <m:rPr>
            <m:sty m:val="p"/>
          </m:rPr>
          <w:rPr>
            <w:rFonts w:ascii="Cambria Math" w:hAnsi="Cambria Math"/>
          </w:rPr>
          <m:t>argmin</m:t>
        </m:r>
        <m:r>
          <w:rPr>
            <w:rFonts w:ascii="Cambria Math" w:hAnsi="Cambria Math"/>
          </w:rPr>
          <m:t>S</m:t>
        </m:r>
      </m:oMath>
      <w:r>
        <w:t xml:space="preserve"> as </w:t>
      </w:r>
      <m:oMath>
        <m:r>
          <w:rPr>
            <w:rFonts w:ascii="Cambria Math" w:hAnsi="Cambria Math"/>
          </w:rPr>
          <m:t>β</m:t>
        </m:r>
        <m:r>
          <m:rPr>
            <m:sty m:val="p"/>
          </m:rPr>
          <w:rPr>
            <w:rFonts w:ascii="Cambria Math" w:hAnsi="Cambria Math"/>
          </w:rPr>
          <m:t>→∞</m:t>
        </m:r>
      </m:oMath>
      <w:r>
        <w:t>.</w:t>
      </w:r>
    </w:p>
    <w:p w14:paraId="5A817C7A" w14:textId="77777777" w:rsidR="00D84A52" w:rsidRDefault="00000000">
      <w:pPr>
        <w:pStyle w:val="BodyText"/>
      </w:pPr>
      <w:r>
        <w:rPr>
          <w:b/>
          <w:bCs/>
        </w:rPr>
        <w:lastRenderedPageBreak/>
        <w:t>Proof.</w:t>
      </w:r>
      <w:r>
        <w:t xml:space="preserve"> The complement of such a neighborhood has loss at least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g</m:t>
        </m:r>
      </m:oMath>
      <w:r>
        <w:t xml:space="preserve"> for some </w:t>
      </w:r>
      <m:oMath>
        <m:r>
          <w:rPr>
            <w:rFonts w:ascii="Cambria Math" w:hAnsi="Cambria Math"/>
          </w:rPr>
          <m:t>g</m:t>
        </m:r>
        <m:r>
          <m:rPr>
            <m:sty m:val="p"/>
          </m:rPr>
          <w:rPr>
            <w:rFonts w:ascii="Cambria Math" w:hAnsi="Cambria Math"/>
          </w:rPr>
          <m:t>&gt;</m:t>
        </m:r>
        <m:r>
          <w:rPr>
            <w:rFonts w:ascii="Cambria Math" w:hAnsi="Cambria Math"/>
          </w:rPr>
          <m:t>0</m:t>
        </m:r>
      </m:oMath>
      <w:r>
        <w:t xml:space="preserve">. A sufficiently small neighborhood of a minimizer has positive reference mass </w:t>
      </w:r>
      <m:oMath>
        <m:r>
          <w:rPr>
            <w:rFonts w:ascii="Cambria Math" w:hAnsi="Cambria Math"/>
          </w:rPr>
          <m:t>c</m:t>
        </m:r>
      </m:oMath>
      <w:r>
        <w:t xml:space="preserve"> and loss at most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m:t>
        </m:r>
      </m:oMath>
      <w:r>
        <w:t xml:space="preserve">. The target probability of the complement is at most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βg</m:t>
            </m:r>
            <m:r>
              <m:rPr>
                <m:sty m:val="p"/>
              </m:rPr>
              <w:rPr>
                <w:rFonts w:ascii="Cambria Math" w:hAnsi="Cambria Math"/>
              </w:rPr>
              <m:t>/</m:t>
            </m:r>
            <m:r>
              <w:rPr>
                <w:rFonts w:ascii="Cambria Math" w:hAnsi="Cambria Math"/>
              </w:rPr>
              <m:t>2</m:t>
            </m:r>
          </m:sup>
        </m:sSup>
      </m:oMath>
      <w:r>
        <w:t xml:space="preserve">. </w:t>
      </w:r>
      <m:oMath>
        <m:r>
          <m:rPr>
            <m:sty m:val="p"/>
          </m:rPr>
          <w:rPr>
            <w:rFonts w:ascii="Cambria Math" w:hAnsi="Cambria Math"/>
          </w:rPr>
          <m:t>▫</m:t>
        </m:r>
      </m:oMath>
    </w:p>
    <w:p w14:paraId="349142EA" w14:textId="77777777" w:rsidR="00D84A52" w:rsidRDefault="00000000">
      <w:pPr>
        <w:pStyle w:val="BodyText"/>
      </w:pPr>
      <w:r>
        <w:t>Full support can be weakened to positive reference mass in arbitrarily good sublevel sets, with the corresponding isolation condition. If the reference excludes all neighborhoods of an efficient point, changing inverse temperature cannot recover that point. Boundary minima do not need nondegenerate interior Hessians for this elementary concentration statement.</w:t>
      </w:r>
    </w:p>
    <w:p w14:paraId="43C0E8BE" w14:textId="77777777" w:rsidR="00D84A52" w:rsidRDefault="00000000">
      <w:pPr>
        <w:pStyle w:val="Heading2"/>
      </w:pPr>
      <w:bookmarkStart w:id="7" w:name="chebyshev-preferences"/>
      <w:bookmarkEnd w:id="6"/>
      <w:r>
        <w:t>3.2 Chebyshev preferences</w:t>
      </w:r>
    </w:p>
    <w:p w14:paraId="5AADA3C7" w14:textId="77777777" w:rsidR="00D84A52" w:rsidRDefault="00000000">
      <w:pPr>
        <w:pStyle w:val="FirstParagraph"/>
      </w:pPr>
      <w:r>
        <w:t xml:space="preserve">Fix a reference vector </w:t>
      </w:r>
      <m:oMath>
        <m:r>
          <w:rPr>
            <w:rFonts w:ascii="Cambria Math" w:hAnsi="Cambria Math"/>
          </w:rPr>
          <m:t>z</m:t>
        </m:r>
      </m:oMath>
      <w:r>
        <w:t xml:space="preserve"> in the normalized objective coordinates and define </w:t>
      </w:r>
      <m:oMath>
        <m:sSub>
          <m:sSubPr>
            <m:ctrlPr>
              <w:rPr>
                <w:rFonts w:ascii="Cambria Math" w:hAnsi="Cambria Math"/>
              </w:rPr>
            </m:ctrlPr>
          </m:sSubPr>
          <m:e>
            <m:r>
              <w:rPr>
                <w:rFonts w:ascii="Cambria Math" w:hAnsi="Cambria Math"/>
              </w:rPr>
              <m:t>T</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A sufficient global utopian condition is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inf</m:t>
            </m:r>
          </m:e>
          <m:sub>
            <m:r>
              <w:rPr>
                <w:rFonts w:ascii="Cambria Math" w:hAnsi="Cambria Math"/>
              </w:rPr>
              <m:t>x</m:t>
            </m:r>
            <m:r>
              <m:rPr>
                <m:scr m:val="script"/>
                <m:sty m:val="p"/>
              </m:rP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oMath>
      <w:r>
        <w:t xml:space="preserve"> for every coordinate. The following reachability result only needs a strictly positive gap to the particular efficient vector being targeted.</w:t>
      </w:r>
    </w:p>
    <w:p w14:paraId="5270F291" w14:textId="77777777" w:rsidR="00D84A52" w:rsidRDefault="00000000">
      <w:pPr>
        <w:pStyle w:val="BodyText"/>
        <w:keepNext/>
        <w:keepLines/>
      </w:pPr>
      <w:r>
        <w:rPr>
          <w:b/>
          <w:bCs/>
        </w:rPr>
        <w:t>Theorem 3.3 — Chebyshev efficiency and reachability.</w:t>
      </w:r>
      <w:r>
        <w:t xml:space="preserve"> With strictly positive weights, every attained minimizer of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is weakly efficient. Let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be an attained Pareto-efficient vector and assume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every </w:t>
      </w:r>
      <m:oMath>
        <m:r>
          <w:rPr>
            <w:rFonts w:ascii="Cambria Math" w:hAnsi="Cambria Math"/>
          </w:rPr>
          <m:t>j</m:t>
        </m:r>
      </m:oMath>
      <w:r>
        <w:t>. Choose</w:t>
      </w:r>
    </w:p>
    <w:p w14:paraId="52168662"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cr m:val="script"/>
                                  <m:sty m:val="p"/>
                                </m:rPr>
                                <w:rPr>
                                  <w:rFonts w:ascii="Cambria Math" w:hAnsi="Cambria Math"/>
                                </w:rPr>
                                <m:t>l</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e>
                      </m:d>
                    </m:e>
                    <m:sup>
                      <m:r>
                        <m:rPr>
                          <m:sty m:val="p"/>
                        </m:rPr>
                        <w:rPr>
                          <w:rFonts w:ascii="Cambria Math" w:hAnsi="Cambria Math"/>
                        </w:rPr>
                        <m:t>-</m:t>
                      </m:r>
                      <m:r>
                        <w:rPr>
                          <w:rFonts w:ascii="Cambria Math" w:hAnsi="Cambria Math"/>
                        </w:rPr>
                        <m:t>1</m:t>
                      </m:r>
                    </m:sup>
                  </m:sSup>
                </m:e>
              </m:nary>
            </m:den>
          </m:f>
          <m:r>
            <m:rPr>
              <m:sty m:val="p"/>
            </m:rPr>
            <w:rPr>
              <w:rFonts w:ascii="Cambria Math" w:hAnsi="Cambria Math"/>
            </w:rPr>
            <m:t>.</m:t>
          </m:r>
          <m:r>
            <m:rPr>
              <m:nor/>
            </m:rPr>
            <m:t xml:space="preserve">    (4)</m:t>
          </m:r>
        </m:oMath>
      </m:oMathPara>
    </w:p>
    <w:p w14:paraId="452E320C" w14:textId="77777777" w:rsidR="00D84A52" w:rsidRDefault="00000000">
      <w:pPr>
        <w:pStyle w:val="FirstParagraph"/>
      </w:pPr>
      <w:r>
        <w:t xml:space="preserve">Then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minimizes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and every minimizer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Several designs may share that vector.</w:t>
      </w:r>
    </w:p>
    <w:p w14:paraId="1842C509" w14:textId="77777777" w:rsidR="00D84A52" w:rsidRDefault="00000000">
      <w:pPr>
        <w:pStyle w:val="BodyText"/>
      </w:pPr>
      <w:r>
        <w:rPr>
          <w:b/>
          <w:bCs/>
        </w:rPr>
        <w:t>Proof.</w:t>
      </w:r>
      <w:r>
        <w:t xml:space="preserve"> A strict improvement in all objectives strictly decreases every weighted term and hence the maximum, proving weak efficiency. Under (4), </w:t>
      </w:r>
      <m:oMath>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w:r>
        <w:t xml:space="preserve"> for all </w:t>
      </w:r>
      <m:oMath>
        <m:r>
          <w:rPr>
            <w:rFonts w:ascii="Cambria Math" w:hAnsi="Cambria Math"/>
          </w:rPr>
          <m:t>j</m:t>
        </m:r>
      </m:oMath>
      <w:r>
        <w:t xml:space="preserve">. Any vector with scalar value at most </w:t>
      </w:r>
      <m:oMath>
        <m:r>
          <w:rPr>
            <w:rFonts w:ascii="Cambria Math" w:hAnsi="Cambria Math"/>
          </w:rPr>
          <m:t>c</m:t>
        </m:r>
      </m:oMath>
      <w:r>
        <w:t xml:space="preserve"> satisfies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all </w:t>
      </w:r>
      <m:oMath>
        <m:r>
          <w:rPr>
            <w:rFonts w:ascii="Cambria Math" w:hAnsi="Cambria Math"/>
          </w:rPr>
          <m:t>j</m:t>
        </m:r>
      </m:oMath>
      <w:r>
        <w:t xml:space="preserve">; efficiency forces equality in every coordinate. A value strictly below </w:t>
      </w:r>
      <m:oMath>
        <m:r>
          <w:rPr>
            <w:rFonts w:ascii="Cambria Math" w:hAnsi="Cambria Math"/>
          </w:rPr>
          <m:t>c</m:t>
        </m:r>
      </m:oMath>
      <w:r>
        <w:t xml:space="preserve"> would strictly dominate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which is impossible. </w:t>
      </w:r>
      <m:oMath>
        <m:r>
          <m:rPr>
            <m:sty m:val="p"/>
          </m:rPr>
          <w:rPr>
            <w:rFonts w:ascii="Cambria Math" w:hAnsi="Cambria Math"/>
          </w:rPr>
          <m:t>▫</m:t>
        </m:r>
      </m:oMath>
    </w:p>
    <w:p w14:paraId="548DB978" w14:textId="77777777" w:rsidR="00D84A52" w:rsidRDefault="00000000">
      <w:pPr>
        <w:pStyle w:val="BodyText"/>
      </w:pPr>
      <w:r>
        <w:t xml:space="preserve">Weak efficiency in the first conclusion cannot be replaced by efficiency without more conditions. The feasible vectors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both minimize </w:t>
      </w:r>
      <m:oMath>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m:t>
            </m:r>
          </m:e>
        </m:d>
      </m:oMath>
      <w:r>
        <w:t xml:space="preserve">, with value 2, although the second is dominated. An augmented term </w:t>
      </w:r>
      <m:oMath>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with </w:t>
      </w:r>
      <m:oMath>
        <m:r>
          <w:rPr>
            <w:rFonts w:ascii="Cambria Math" w:hAnsi="Cambria Math"/>
          </w:rPr>
          <m:t>ρ</m:t>
        </m:r>
        <m:r>
          <m:rPr>
            <m:sty m:val="p"/>
          </m:rPr>
          <w:rPr>
            <w:rFonts w:ascii="Cambria Math" w:hAnsi="Cambria Math"/>
          </w:rPr>
          <m:t>&gt;</m:t>
        </m:r>
        <m:r>
          <w:rPr>
            <w:rFonts w:ascii="Cambria Math" w:hAnsi="Cambria Math"/>
          </w:rPr>
          <m:t>0</m:t>
        </m:r>
      </m:oMath>
      <w:r>
        <w:t xml:space="preserve"> makes the scalarization strictly increasing in each coordinate and removes dominated minimizers. A fixed augmentation can change which efficient vector minimizes it; the exact inverse-gap construction (4) is not automatically preserved.</w:t>
      </w:r>
    </w:p>
    <w:p w14:paraId="5C110A35" w14:textId="77777777" w:rsidR="00D84A52" w:rsidRDefault="00000000">
      <w:pPr>
        <w:pStyle w:val="BodyText"/>
      </w:pPr>
      <w:r>
        <w:t>An ideal point estimated from current archive minima is not a fixed utopian reference. Some inverse gaps may vanish, and the estimate can change as records arrive. Such a reference may still guide proposals, but it does not support a claim about one fixed target unless its value is frozen and recorded.</w:t>
      </w:r>
    </w:p>
    <w:p w14:paraId="14C17663" w14:textId="77777777" w:rsidR="00D84A52" w:rsidRDefault="00000000">
      <w:pPr>
        <w:pStyle w:val="Heading2"/>
      </w:pPr>
      <w:bookmarkStart w:id="8" w:name="Xed234680c4f798862b0edbcee1c45d229b6e18c"/>
      <w:bookmarkEnd w:id="7"/>
      <w:r>
        <w:t>3.3 Normalization changes preferences and inverse temperature</w:t>
      </w:r>
    </w:p>
    <w:p w14:paraId="5CE7735A" w14:textId="77777777" w:rsidR="00D84A52" w:rsidRDefault="00000000">
      <w:pPr>
        <w:pStyle w:val="FirstParagraph"/>
        <w:keepNext/>
      </w:pPr>
      <w:r>
        <w:t xml:space="preserve">Set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C</m:t>
            </m:r>
          </m:e>
        </m:d>
      </m:oMath>
      <w:r>
        <w:t>. Then</w:t>
      </w:r>
    </w:p>
    <w:p w14:paraId="36413729" w14:textId="77777777" w:rsidR="00D84A52" w:rsidRDefault="00000000">
      <w:pPr>
        <w:pStyle w:val="BodyText"/>
        <w:keepLines/>
        <w:spacing w:before="60" w:after="120"/>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m:rPr>
              <m:nor/>
            </m:rPr>
            <m:t xml:space="preserve">    (5)</m:t>
          </m:r>
        </m:oMath>
      </m:oMathPara>
    </w:p>
    <w:p w14:paraId="7EEDF635" w14:textId="77777777" w:rsidR="00D84A52" w:rsidRDefault="00000000">
      <w:pPr>
        <w:pStyle w:val="FirstParagraph"/>
        <w:keepNext/>
      </w:pPr>
      <w:r>
        <w:t xml:space="preserve">For Chebyshev fusion, write the raw-unit reference as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oMath>
      <w:r>
        <w:t>. The identical factoring gives</w:t>
      </w:r>
    </w:p>
    <w:p w14:paraId="0A0B590D" w14:textId="77777777" w:rsidR="00D84A52" w:rsidRDefault="00000000">
      <w:pPr>
        <w:pStyle w:val="BodyText"/>
        <w:keepLines/>
        <w:spacing w:before="60" w:after="120"/>
        <w:jc w:val="center"/>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C</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m:rPr>
              <m:nor/>
            </m:rPr>
            <m:t xml:space="preserve">    (6)</m:t>
          </m:r>
        </m:oMath>
      </m:oMathPara>
    </w:p>
    <w:p w14:paraId="7063FCB2" w14:textId="77777777" w:rsidR="00D84A52" w:rsidRDefault="00000000">
      <w:pPr>
        <w:pStyle w:val="FirstParagraph"/>
      </w:pPr>
      <w:r>
        <w:t xml:space="preserve">Thus expressing the same scalarization in raw units requires both the effective preference </w:t>
      </w:r>
      <m:oMath>
        <m:r>
          <w:rPr>
            <w:rFonts w:ascii="Cambria Math" w:hAnsi="Cambria Math"/>
          </w:rPr>
          <m:t>λ</m:t>
        </m:r>
        <m:r>
          <m:rPr>
            <m:sty m:val="p"/>
          </m:rPr>
          <w:rPr>
            <w:rFonts w:ascii="Cambria Math" w:hAnsi="Cambria Math"/>
          </w:rPr>
          <m:t>'</m:t>
        </m:r>
      </m:oMath>
      <w:r>
        <w:t xml:space="preserve"> and inverse temperature </w:t>
      </w:r>
      <m:oMath>
        <m:r>
          <w:rPr>
            <w:rFonts w:ascii="Cambria Math" w:hAnsi="Cambria Math"/>
          </w:rPr>
          <m:t>β</m:t>
        </m:r>
        <m:r>
          <m:rPr>
            <m:sty m:val="p"/>
          </m:rPr>
          <w:rPr>
            <w:rFonts w:ascii="Cambria Math" w:hAnsi="Cambria Math"/>
          </w:rPr>
          <m:t>'=</m:t>
        </m:r>
        <m:r>
          <w:rPr>
            <w:rFonts w:ascii="Cambria Math" w:hAnsi="Cambria Math"/>
          </w:rPr>
          <m:t>βC</m:t>
        </m:r>
      </m:oMath>
      <w:r>
        <w:t xml:space="preserve">. Dropping </w:t>
      </w:r>
      <m:oMath>
        <m:r>
          <w:rPr>
            <w:rFonts w:ascii="Cambria Math" w:hAnsi="Cambria Math"/>
          </w:rPr>
          <m:t>C</m:t>
        </m:r>
      </m:oMath>
      <w:r>
        <w:t xml:space="preserve"> changes the density even when the scalar minimizer is unchanged. Altering a Chebyshev offset without transforming its reference changes its geometry as well.</w:t>
      </w:r>
    </w:p>
    <w:p w14:paraId="46E2229D" w14:textId="77777777" w:rsidR="00D84A52" w:rsidRDefault="00000000">
      <w:pPr>
        <w:pStyle w:val="BodyText"/>
      </w:pPr>
      <w:r>
        <w:lastRenderedPageBreak/>
        <w:t xml:space="preserve">For nominal weights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0.891304</m:t>
            </m:r>
            <m:r>
              <m:rPr>
                <m:sty m:val="p"/>
              </m:rPr>
              <w:rPr>
                <w:rFonts w:ascii="Cambria Math" w:hAnsi="Cambria Math"/>
              </w:rPr>
              <m:t>,</m:t>
            </m:r>
            <m:r>
              <w:rPr>
                <w:rFonts w:ascii="Cambria Math" w:hAnsi="Cambria Math"/>
              </w:rPr>
              <m:t>0.108696</m:t>
            </m:r>
          </m:e>
        </m:d>
      </m:oMath>
      <w:r>
        <w:t xml:space="preserve"> and </w:t>
      </w:r>
      <m:oMath>
        <m:r>
          <w:rPr>
            <w:rFonts w:ascii="Cambria Math" w:hAnsi="Cambria Math"/>
          </w:rPr>
          <m:t>C</m:t>
        </m:r>
        <m:r>
          <m:rPr>
            <m:sty m:val="p"/>
          </m:rPr>
          <w:rPr>
            <w:rFonts w:ascii="Cambria Math" w:hAnsi="Cambria Math"/>
          </w:rPr>
          <m:t>=</m:t>
        </m:r>
        <m:r>
          <w:rPr>
            <w:rFonts w:ascii="Cambria Math" w:hAnsi="Cambria Math"/>
          </w:rPr>
          <m:t>0.560976</m:t>
        </m:r>
      </m:oMath>
      <w:r>
        <w:t>. The second objective has much less influence in raw units than the nominal weights suggest. Data-dependent min–max ranges can therefore move preferences and inverse temperature simultaneously. Fixed engineering units or declared calibration phases make this change explicit.</w:t>
      </w:r>
    </w:p>
    <w:p w14:paraId="6C56B4E1" w14:textId="77777777" w:rsidR="00D84A52" w:rsidRDefault="00000000">
      <w:pPr>
        <w:pStyle w:val="BodyText"/>
        <w:keepNext/>
        <w:keepLines/>
      </w:pPr>
      <w:r>
        <w:rPr>
          <w:b/>
          <w:bCs/>
        </w:rPr>
        <w:t>Proposition 3.4 — A finite-archive tail bound with its reference specified.</w:t>
      </w:r>
      <w:r>
        <w:t xml:space="preserve"> Let a two-objective archive have normalized coordinates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Choose a nondominated archive vector </w:t>
      </w:r>
      <m:oMath>
        <m:r>
          <w:rPr>
            <w:rFonts w:ascii="Cambria Math" w:hAnsi="Cambria Math"/>
          </w:rPr>
          <m:t>p</m:t>
        </m:r>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suppose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For positive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any weighted-sum minimizer over the archive obeys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e>
        </m:d>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same bound holds for the Chebyshev maximum with zero reference. For an arbitrary reference </w:t>
      </w:r>
      <m:oMath>
        <m:r>
          <w:rPr>
            <w:rFonts w:ascii="Cambria Math" w:hAnsi="Cambria Math"/>
          </w:rPr>
          <m:t>z</m:t>
        </m:r>
      </m:oMath>
      <w:r>
        <w:t>, the Chebyshev bound becomes</w:t>
      </w:r>
    </w:p>
    <w:p w14:paraId="5565FF64"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m:rPr>
              <m:nor/>
            </m:rPr>
            <m:t xml:space="preserve">    (7)</m:t>
          </m:r>
        </m:oMath>
      </m:oMathPara>
    </w:p>
    <w:p w14:paraId="45038FA5" w14:textId="77777777" w:rsidR="00D84A52" w:rsidRDefault="00000000">
      <w:pPr>
        <w:pStyle w:val="FirstParagraph"/>
      </w:pPr>
      <w:r>
        <w:rPr>
          <w:b/>
          <w:bCs/>
        </w:rPr>
        <w:t>Proof.</w:t>
      </w:r>
      <w:r>
        <w:t xml:space="preserve"> Evaluate each scalarization at </w:t>
      </w:r>
      <m:oMath>
        <m:r>
          <w:rPr>
            <w:rFonts w:ascii="Cambria Math" w:hAnsi="Cambria Math"/>
          </w:rPr>
          <m:t>p</m:t>
        </m:r>
      </m:oMath>
      <w:r>
        <w:t xml:space="preserve"> to upper-bound its minimum. For the sum, nonnegativity gives a lower bound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For the maximum, use </w:t>
      </w:r>
      <m:oMath>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oMath>
      <w:r>
        <w:t xml:space="preserve"> and rearrange. </w:t>
      </w:r>
      <m:oMath>
        <m:r>
          <m:rPr>
            <m:sty m:val="p"/>
          </m:rPr>
          <w:rPr>
            <w:rFonts w:ascii="Cambria Math" w:hAnsi="Cambria Math"/>
          </w:rPr>
          <m:t>▫</m:t>
        </m:r>
      </m:oMath>
    </w:p>
    <w:p w14:paraId="34AA917F" w14:textId="77777777" w:rsidR="00D84A52" w:rsidRDefault="00000000">
      <w:pPr>
        <w:pStyle w:val="BodyText"/>
      </w:pPr>
      <w:r>
        <w:t xml:space="preserve">Using the second-coordinate range of the entire first front for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is valid here: an archive vector minimizing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has a nondominated representative with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m:t>
        </m:r>
      </m:oMath>
      <w:r>
        <w:t>. The result concerns minimizers over a finite archive, not every subsequently generated candidate or a continuous target expectation.</w:t>
      </w:r>
    </w:p>
    <w:p w14:paraId="0E9C85D6" w14:textId="77777777" w:rsidR="00147891" w:rsidRDefault="00000000">
      <w:pPr>
        <w:pStyle w:val="Heading2"/>
      </w:pPr>
      <w:bookmarkStart w:id="9" w:name="pareto-decisions-with-interval-responses"/>
      <w:r>
        <w:t>3.4 Pareto decisions with interval responses</w:t>
      </w:r>
    </w:p>
    <w:p w14:paraId="25C72E46" w14:textId="77777777" w:rsidR="00147891" w:rsidRDefault="00000000">
      <w:pPr>
        <w:pStyle w:val="FirstParagraph"/>
      </w:pPr>
      <w:r>
        <w:t>An interval response is useful before it is narrow enough to support a single numerical score. The relevant guarantee depends on which complete response arrays remain possible. Necessary and possible efficiency are established ideas in interval multiobjective optimisation [20]. The finite-catalog result below assumes independent coordinate boxes; it does not transfer unchanged to interval coefficients shared across a continuous design space.</w:t>
      </w:r>
    </w:p>
    <w:p w14:paraId="6546EA80" w14:textId="77777777" w:rsidR="00147891" w:rsidRDefault="00000000">
      <w:pPr>
        <w:pStyle w:val="BodyText"/>
      </w:pPr>
      <w:r>
        <w:rPr>
          <w:b/>
          <w:bCs/>
        </w:rPr>
        <w:t>Definition 3.5 (independent response completion).</w:t>
      </w:r>
      <w:r>
        <w:t xml:space="preserve"> Let </w:t>
      </w:r>
      <m:oMath>
        <m:r>
          <w:rPr>
            <w:rFonts w:ascii="Cambria Math" w:hAnsi="Cambria Math"/>
          </w:rPr>
          <m:t>D</m:t>
        </m:r>
      </m:oMath>
      <w:r>
        <w:t xml:space="preserve"> be a nonempty finite feasible catalog. For each </w:t>
      </w:r>
      <m:oMath>
        <m:r>
          <w:rPr>
            <w:rFonts w:ascii="Cambria Math" w:hAnsi="Cambria Math"/>
          </w:rPr>
          <m:t>x</m:t>
        </m:r>
        <m:r>
          <m:rPr>
            <m:sty m:val="p"/>
          </m:rPr>
          <w:rPr>
            <w:rFonts w:ascii="Cambria Math" w:hAnsi="Cambria Math"/>
          </w:rPr>
          <m:t>∈</m:t>
        </m:r>
        <m:r>
          <w:rPr>
            <w:rFonts w:ascii="Cambria Math" w:hAnsi="Cambria Math"/>
          </w:rPr>
          <m:t>D</m:t>
        </m:r>
      </m:oMath>
      <w:r>
        <w:t xml:space="preserve">, let </w:t>
      </w:r>
      <m:oMath>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oMath>
      <w:r>
        <w:t xml:space="preserve"> componentwise in normalized objective coordinates. A completion assigns any vector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e>
        </m:d>
      </m:oMath>
      <w:r>
        <w:t xml:space="preserve"> to each design, independently across designs and coordinates. A design is possibly efficient if it is Pareto efficient for at least one completion, and necessarily efficient if it is efficient for every completion. Feasibility is fixed and verified separately.</w:t>
      </w:r>
    </w:p>
    <w:p w14:paraId="6C9F1DBE" w14:textId="77777777" w:rsidR="00147891" w:rsidRDefault="00000000">
      <w:pPr>
        <w:pStyle w:val="BodyText"/>
        <w:keepLines/>
      </w:pPr>
      <w:r>
        <w:rPr>
          <w:b/>
          <w:bCs/>
        </w:rPr>
        <w:t>Theorem 3.6 (exact interval Pareto certificates).</w:t>
      </w:r>
      <w:r>
        <w:t xml:space="preserve"> For the strict Pareto relation of Section 2.1,</w:t>
      </w:r>
    </w:p>
    <w:p w14:paraId="2F44FBC9" w14:textId="77777777" w:rsidR="00147891"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possible</m:t>
                    </m:r>
                  </m:sub>
                </m:sSub>
              </m:e>
              <m:e>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nor/>
                      </m:rPr>
                      <m:t xml:space="preserve"> with </m:t>
                    </m:r>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y</m:t>
                        </m:r>
                      </m:e>
                    </m:d>
                  </m:e>
                </m:d>
                <m:r>
                  <m:rPr>
                    <m:sty m:val="p"/>
                  </m:rPr>
                  <w:rPr>
                    <w:rFonts w:ascii="Cambria Math" w:hAnsi="Cambria Math"/>
                  </w:rPr>
                  <m:t>,</m:t>
                </m:r>
              </m:e>
            </m:mr>
            <m:mr>
              <m:e>
                <m:sSub>
                  <m:sSubPr>
                    <m:ctrlPr>
                      <w:rPr>
                        <w:rFonts w:ascii="Cambria Math" w:hAnsi="Cambria Math"/>
                      </w:rPr>
                    </m:ctrlPr>
                  </m:sSubPr>
                  <m:e>
                    <m:r>
                      <w:rPr>
                        <w:rFonts w:ascii="Cambria Math" w:hAnsi="Cambria Math"/>
                      </w:rPr>
                      <m:t>P</m:t>
                    </m:r>
                  </m:e>
                  <m:sub>
                    <m:r>
                      <m:rPr>
                        <m:sty m:val="p"/>
                      </m:rPr>
                      <w:rPr>
                        <w:rFonts w:ascii="Cambria Math" w:hAnsi="Cambria Math"/>
                      </w:rPr>
                      <m:t>necessary</m:t>
                    </m:r>
                  </m:sub>
                </m:sSub>
              </m:e>
              <m:e>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nor/>
                      </m:rPr>
                      <m:t xml:space="preserve"> with </m:t>
                    </m:r>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y</m:t>
                        </m:r>
                      </m:e>
                    </m:d>
                  </m:e>
                </m:d>
                <m:r>
                  <m:rPr>
                    <m:sty m:val="p"/>
                  </m:rPr>
                  <w:rPr>
                    <w:rFonts w:ascii="Cambria Math" w:hAnsi="Cambria Math"/>
                  </w:rPr>
                  <m:t>.</m:t>
                </m:r>
              </m:e>
            </m:mr>
          </m:m>
          <m:r>
            <m:rPr>
              <m:nor/>
            </m:rPr>
            <m:t xml:space="preserve">    (8)</m:t>
          </m:r>
        </m:oMath>
      </m:oMathPara>
    </w:p>
    <w:p w14:paraId="047C07F1" w14:textId="77777777" w:rsidR="00147891" w:rsidRDefault="00000000">
      <w:pPr>
        <w:pStyle w:val="FirstParagraph"/>
      </w:pPr>
      <w:r>
        <w:t>Every completed Pareto set lies between these two sets. Under nested valid refinement, the possible set can only shrink and the necessary set can only grow.</w:t>
      </w:r>
    </w:p>
    <w:p w14:paraId="25496BB0" w14:textId="77777777" w:rsidR="00147891" w:rsidRDefault="00000000">
      <w:pPr>
        <w:pStyle w:val="BodyText"/>
      </w:pPr>
      <w:r>
        <w:rPr>
          <w:i/>
          <w:iCs/>
        </w:rPr>
        <w:t>Proof.</w:t>
      </w:r>
      <w:r>
        <w:t xml:space="preserve"> If </w:t>
      </w: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y</m:t>
            </m:r>
          </m:e>
        </m:d>
      </m:oMath>
      <w:r>
        <w:t xml:space="preserve">, every completion makes </w:t>
      </w:r>
      <m:oMath>
        <m:r>
          <w:rPr>
            <w:rFonts w:ascii="Cambria Math" w:hAnsi="Cambria Math"/>
          </w:rPr>
          <m:t>x</m:t>
        </m:r>
      </m:oMath>
      <w:r>
        <w:t xml:space="preserve"> dominate </w:t>
      </w:r>
      <m:oMath>
        <m:r>
          <w:rPr>
            <w:rFonts w:ascii="Cambria Math" w:hAnsi="Cambria Math"/>
          </w:rPr>
          <m:t>y</m:t>
        </m:r>
      </m:oMath>
      <w:r>
        <w:t xml:space="preserve">. Conversely, choose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y</m:t>
            </m:r>
          </m:e>
        </m:d>
      </m:oMath>
      <w:r>
        <w:t xml:space="preserve"> and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oMath>
      <w:r>
        <w:t xml:space="preserve"> for every other design. Absence of such an </w:t>
      </w:r>
      <m:oMath>
        <m:r>
          <w:rPr>
            <w:rFonts w:ascii="Cambria Math" w:hAnsi="Cambria Math"/>
          </w:rPr>
          <m:t>x</m:t>
        </m:r>
      </m:oMath>
      <w:r>
        <w:t xml:space="preserve"> makes </w:t>
      </w:r>
      <m:oMath>
        <m:r>
          <w:rPr>
            <w:rFonts w:ascii="Cambria Math" w:hAnsi="Cambria Math"/>
          </w:rPr>
          <m:t>y</m:t>
        </m:r>
      </m:oMath>
      <w:r>
        <w:t xml:space="preserve"> efficient in this completion, proving the first formula. If some </w:t>
      </w:r>
      <m:oMath>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y</m:t>
            </m:r>
          </m:e>
        </m:d>
      </m:oMath>
      <w:r>
        <w:t xml:space="preserve">, the endpoint completion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e>
        </m:d>
      </m:oMath>
      <w:r>
        <w:t xml:space="preserve">,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y</m:t>
            </m:r>
          </m:e>
        </m:d>
      </m:oMath>
      <w:r>
        <w:t xml:space="preserve"> witnesses failure of necessary efficiency. If no such pair exists, domination in any completion would imply </w:t>
      </w:r>
      <m:oMath>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y</m:t>
            </m:r>
          </m:e>
        </m:d>
      </m:oMath>
      <w:r>
        <w:t>, a contradiction. Refinement reduces the set of completions, so existential membership can only disappear and universal membership can only appear. □</w:t>
      </w:r>
    </w:p>
    <w:p w14:paraId="0CB50F30" w14:textId="77777777" w:rsidR="00147891" w:rsidRDefault="00000000">
      <w:pPr>
        <w:pStyle w:val="BodyText"/>
      </w:pPr>
      <w:r>
        <w:t>The strict coordinate matters: identical objective vectors do not dominate each other. Overlapping boxes often remain unresolved, and the necessary set can be empty. Additional dependence constraints can remove endpoint completions; the displayed possible set then remains an outer bound and the displayed necessary set an inner bound. Discarding impossible Pareto candidates is a finite-catalog certificate. A continuum region requires bounds valid throughout that region and a separate covering argument.</w:t>
      </w:r>
    </w:p>
    <w:p w14:paraId="19146C85" w14:textId="77777777" w:rsidR="00147891" w:rsidRDefault="00000000">
      <w:pPr>
        <w:pStyle w:val="BodyText"/>
      </w:pPr>
      <w:r>
        <w:lastRenderedPageBreak/>
        <w:t xml:space="preserve">For nonnegative preferences, the scalar loss intervals are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U</m:t>
            </m:r>
          </m:e>
        </m:d>
      </m:oMath>
      <w:r>
        <w:t xml:space="preserve"> for the sum and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d>
      </m:oMath>
      <w:r>
        <w:t xml:space="preserve"> for Chebyshev fusion. Exponentiating in reverse order gives the compatible fitness interval. Refinement raises pessimistic fitness and lowers optimistic fitness. This order information does not assert that each sampled proposal or each finite-archive estimation error improves.</w:t>
      </w:r>
    </w:p>
    <w:p w14:paraId="3F93FA1E" w14:textId="77777777" w:rsidR="00D84A52" w:rsidRDefault="00000000">
      <w:pPr>
        <w:pStyle w:val="Heading1"/>
      </w:pPr>
      <w:bookmarkStart w:id="10" w:name="mixture-fusion-and-evidence-gates"/>
      <w:bookmarkEnd w:id="5"/>
      <w:bookmarkEnd w:id="8"/>
      <w:bookmarkEnd w:id="9"/>
      <w:r>
        <w:t>4 Mixture fusion and evidence gates</w:t>
      </w:r>
    </w:p>
    <w:p w14:paraId="2AEF1589" w14:textId="77777777" w:rsidR="00D84A52" w:rsidRDefault="00000000">
      <w:pPr>
        <w:pStyle w:val="Heading2"/>
      </w:pPr>
      <w:bookmarkStart w:id="11" w:name="the-exact-posterior-mixture"/>
      <w:r>
        <w:t>4.1 The exact posterior mixture</w:t>
      </w:r>
    </w:p>
    <w:p w14:paraId="3119EAEF" w14:textId="77777777" w:rsidR="00D84A52" w:rsidRDefault="00000000">
      <w:pPr>
        <w:pStyle w:val="FirstParagraph"/>
        <w:keepNext/>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r>
          <w:rPr>
            <w:rFonts w:ascii="Cambria Math" w:hAnsi="Cambria Math"/>
          </w:rPr>
          <m:t>μ</m:t>
        </m:r>
      </m:oMath>
      <w:r>
        <w:t xml:space="preserve"> be normalized component targets, and let </w:t>
      </w:r>
      <m:oMath>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Introduce a common observation kernel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positive on the relevant support. For Euclidean design states a useful choice is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Assume the kernel-weighted first moments exist. Define</w:t>
      </w:r>
    </w:p>
    <w:p w14:paraId="4A569536"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num>
            <m:den>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den>
          </m:f>
          <m:r>
            <m:rPr>
              <m:sty m:val="p"/>
            </m:rPr>
            <w:rPr>
              <w:rFonts w:ascii="Cambria Math" w:hAnsi="Cambria Math"/>
            </w:rPr>
            <m:t>.</m:t>
          </m:r>
          <m:r>
            <m:rPr>
              <m:nor/>
            </m:rPr>
            <m:t xml:space="preserve">    (9)</m:t>
          </m:r>
        </m:oMath>
      </m:oMathPara>
    </w:p>
    <w:p w14:paraId="76A70FE8" w14:textId="77777777" w:rsidR="00D84A52" w:rsidRDefault="00000000">
      <w:pPr>
        <w:pStyle w:val="FirstParagraph"/>
        <w:keepNext/>
        <w:keepLines/>
      </w:pPr>
      <w:r>
        <w:rPr>
          <w:b/>
          <w:bCs/>
        </w:rPr>
        <w:t>Theorem 4.1 — Evidence-gated mixture retrieval.</w:t>
      </w:r>
      <w:r>
        <w:t xml:space="preserve"> The conditional mean for the mixture is</w:t>
      </w:r>
    </w:p>
    <w:p w14:paraId="021A2894"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mix</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L</m:t>
                  </m:r>
                </m:e>
                <m:sub>
                  <m:r>
                    <m:rPr>
                      <m:scr m:val="script"/>
                      <m:sty m:val="p"/>
                    </m:rPr>
                    <w:rPr>
                      <w:rFonts w:ascii="Cambria Math" w:hAnsi="Cambria Math"/>
                    </w:rPr>
                    <m:t>l</m:t>
                  </m:r>
                </m:sub>
              </m:sSub>
              <m:d>
                <m:dPr>
                  <m:ctrlPr>
                    <w:rPr>
                      <w:rFonts w:ascii="Cambria Math" w:hAnsi="Cambria Math"/>
                    </w:rPr>
                  </m:ctrlPr>
                </m:dPr>
                <m:e>
                  <m:r>
                    <w:rPr>
                      <w:rFonts w:ascii="Cambria Math" w:hAnsi="Cambria Math"/>
                    </w:rPr>
                    <m:t>q</m:t>
                  </m:r>
                </m:e>
              </m:d>
            </m:den>
          </m:f>
          <m:r>
            <m:rPr>
              <m:sty m:val="p"/>
            </m:rPr>
            <w:rPr>
              <w:rFonts w:ascii="Cambria Math" w:hAnsi="Cambria Math"/>
            </w:rPr>
            <m:t>.</m:t>
          </m:r>
          <m:r>
            <m:rPr>
              <m:nor/>
            </m:rPr>
            <m:t xml:space="preserve">    (10)</m:t>
          </m:r>
        </m:oMath>
      </m:oMathPara>
    </w:p>
    <w:p w14:paraId="40935B74" w14:textId="77777777" w:rsidR="00D84A52" w:rsidRDefault="00000000">
      <w:pPr>
        <w:pStyle w:val="FirstParagraph"/>
      </w:pPr>
      <w:r>
        <w:rPr>
          <w:b/>
          <w:bCs/>
        </w:rPr>
        <w:t>Proof.</w:t>
      </w:r>
      <w:r>
        <w:t xml:space="preserve"> Introduce the mixture label </w:t>
      </w:r>
      <m:oMath>
        <m:r>
          <w:rPr>
            <w:rFonts w:ascii="Cambria Math" w:hAnsi="Cambria Math"/>
          </w:rPr>
          <m:t>H</m:t>
        </m:r>
      </m:oMath>
      <w:r>
        <w:t xml:space="preserve"> with probability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Bayes’ rule gives </w:t>
      </w:r>
      <m:oMath>
        <m:r>
          <m:rPr>
            <m:sty m:val="p"/>
          </m:rPr>
          <w:rPr>
            <w:rFonts w:ascii="Cambria Math" w:hAnsi="Cambria Math"/>
          </w:rPr>
          <m:t>Pr</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Conditional expectation over that label gives (10); equivalently expand the mixture numerator and denominator directly. </w:t>
      </w:r>
      <m:oMath>
        <m:r>
          <m:rPr>
            <m:sty m:val="p"/>
          </m:rPr>
          <w:rPr>
            <w:rFonts w:ascii="Cambria Math" w:hAnsi="Cambria Math"/>
          </w:rPr>
          <m:t>▫</m:t>
        </m:r>
      </m:oMath>
    </w:p>
    <w:p w14:paraId="702858FE" w14:textId="77777777" w:rsidR="00D84A52" w:rsidRDefault="00000000">
      <w:pPr>
        <w:pStyle w:val="BodyText"/>
      </w:pPr>
      <w:r>
        <w:t xml:space="preserve">Fixed gates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equal these posterior label probabilities precisely when the evidences are equal across all positive-weight components. In a pure-noise observation model the evidence is independent of the component. In other cases, even unequal gates can accidentally yield the same output if head means coincide or cancel. Therefore equal evidence is the exact condition for equality of the gates, not a necessary condition for equality of a particular fused mean.</w:t>
      </w:r>
    </w:p>
    <w:p w14:paraId="56EAEFAC" w14:textId="77777777" w:rsidR="00D84A52" w:rsidRDefault="00000000">
      <w:pPr>
        <w:pStyle w:val="BodyText"/>
      </w:pPr>
      <w:r>
        <w:t xml:space="preserve">The unnormalized sum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r>
          <w:rPr>
            <w:rFonts w:ascii="Cambria Math" w:hAnsi="Cambria Math"/>
          </w:rPr>
          <m:t>μ</m:t>
        </m:r>
      </m:oMath>
      <w:r>
        <w:t xml:space="preserve"> defines another target. Its normalized mixture coefficients are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oMath>
      <w:r>
        <w:t xml:space="preserve">, rather than the declared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Component evidence must be computed after component normalization if (10) is the intended target.</w:t>
      </w:r>
    </w:p>
    <w:p w14:paraId="0DF98CCD" w14:textId="77777777" w:rsidR="00D84A52" w:rsidRDefault="00000000">
      <w:pPr>
        <w:pStyle w:val="BodyText"/>
      </w:pPr>
      <w:r>
        <w:t>Adding a constant to one component loss leaves its normalized target and (10) unchanged. The same operation changes an unnormalized-sum mixture’s effective coefficients. This invariance provides a useful numerical diagnostic for a normalized-mixture implementation.</w:t>
      </w:r>
    </w:p>
    <w:p w14:paraId="399B5CDB" w14:textId="77777777" w:rsidR="00D84A52" w:rsidRDefault="00000000">
      <w:pPr>
        <w:pStyle w:val="Heading2"/>
      </w:pPr>
      <w:bookmarkStart w:id="12" w:name="the-archive-formula"/>
      <w:bookmarkEnd w:id="11"/>
      <w:r>
        <w:t>4.2 The archive formula</w:t>
      </w:r>
    </w:p>
    <w:p w14:paraId="184602DF" w14:textId="77777777" w:rsidR="00D84A52" w:rsidRDefault="00000000">
      <w:pPr>
        <w:pStyle w:val="FirstParagraph"/>
        <w:keepNext/>
      </w:pPr>
      <w:r>
        <w:t xml:space="preserve">Suppose archive record </w:t>
      </w:r>
      <m:oMath>
        <m:r>
          <w:rPr>
            <w:rFonts w:ascii="Cambria Math" w:hAnsi="Cambria Math"/>
          </w:rPr>
          <m:t>i</m:t>
        </m:r>
      </m:oMath>
      <w:r>
        <w:t xml:space="preserve"> has a sampling and observation correction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Define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Then the finite-archive quantities are</w:t>
      </w:r>
    </w:p>
    <w:p w14:paraId="50E8D929"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xml:space="preserve">    (11)</m:t>
          </m:r>
        </m:oMath>
      </m:oMathPara>
    </w:p>
    <w:p w14:paraId="0FDFE3EC" w14:textId="77777777" w:rsidR="00D84A52" w:rsidRDefault="00000000">
      <w:pPr>
        <w:pStyle w:val="FirstParagraph"/>
      </w:pPr>
      <w:r>
        <w:t xml:space="preserve">Use these evidences in (10). All denominators must be positive; an unsupported component is an estimation failure requiring a declared response, not a silent zero-valued head. In log space, evidence is the difference of two log-sum-exp normalizers. The denominator in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oMath>
      <w:r>
        <w:t xml:space="preserve"> is essential. It separates a mixture of normalized component targets from a sum of unnormalized losses.</w:t>
      </w:r>
    </w:p>
    <w:p w14:paraId="1B378909" w14:textId="77777777" w:rsidR="00D84A52" w:rsidRDefault="00000000">
      <w:pPr>
        <w:pStyle w:val="BodyText"/>
      </w:pPr>
      <w:r>
        <w:t xml:space="preserve">For the isotropic Gaussian kernel, each head’s scores contain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up to a query-only term. The value vectors are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This is the precise attention identity behind the channel </w:t>
      </w:r>
      <w:r>
        <w:lastRenderedPageBreak/>
        <w:t>analogy. It does not establish that the entire autoregressive search trajectory is an exact sampler from the stated target.</w:t>
      </w:r>
    </w:p>
    <w:p w14:paraId="3C90EFDE" w14:textId="77777777" w:rsidR="00D84A52" w:rsidRDefault="00000000">
      <w:pPr>
        <w:pStyle w:val="Heading2"/>
      </w:pPr>
      <w:bookmarkStart w:id="13" w:name="X198dd23de3b0625120958735e2cfb2b1909fcc3"/>
      <w:bookmarkEnd w:id="12"/>
      <w:r>
        <w:t>4.3 Variable metrics and normalizing constants</w:t>
      </w:r>
    </w:p>
    <w:p w14:paraId="1F4EEA12" w14:textId="77777777" w:rsidR="00D84A52" w:rsidRDefault="00000000">
      <w:pPr>
        <w:pStyle w:val="FirstParagraph"/>
        <w:keepNext/>
      </w:pPr>
      <w:r>
        <w:t xml:space="preserve">For positive coordinate weights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e>
        </m:d>
      </m:oMath>
      <w:r>
        <w:t>. The anisotropic Gaussian kernel is</w:t>
      </w:r>
    </w:p>
    <w:p w14:paraId="317686E3"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w:rPr>
                  <w:rFonts w:ascii="Cambria Math" w:hAnsi="Cambria Math"/>
                </w:rPr>
                <m:t>w</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D</m:t>
                      </m:r>
                    </m:e>
                    <m:sub>
                      <m:r>
                        <w:rPr>
                          <w:rFonts w:ascii="Cambria Math" w:hAnsi="Cambria Math"/>
                        </w:rPr>
                        <m:t>w</m:t>
                      </m:r>
                    </m:sub>
                  </m:sSub>
                </m:e>
              </m:rad>
            </m:num>
            <m:den>
              <m:sSup>
                <m:sSupPr>
                  <m:ctrlPr>
                    <w:rPr>
                      <w:rFonts w:ascii="Cambria Math" w:hAnsi="Cambria Math"/>
                    </w:rPr>
                  </m:ctrlPr>
                </m:sSupPr>
                <m:e>
                  <m:r>
                    <m:rPr>
                      <m:sty m:val="p"/>
                    </m:rPr>
                    <w:rPr>
                      <w:rFonts w:ascii="Cambria Math" w:hAnsi="Cambria Math"/>
                    </w:rPr>
                    <m:t>[</m:t>
                  </m:r>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D</m:t>
                  </m:r>
                </m:e>
                <m:sub>
                  <m:r>
                    <w:rPr>
                      <w:rFonts w:ascii="Cambria Math" w:hAnsi="Cambria Math"/>
                    </w:rPr>
                    <m:t>w</m:t>
                  </m:r>
                </m:sub>
              </m:sSub>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xml:space="preserve">    (12)</m:t>
          </m:r>
        </m:oMath>
      </m:oMathPara>
    </w:p>
    <w:p w14:paraId="2B217DD8" w14:textId="77777777" w:rsidR="00D84A52" w:rsidRDefault="00000000">
      <w:pPr>
        <w:pStyle w:val="FirstParagraph"/>
      </w:pPr>
      <w:r>
        <w:t xml:space="preserve">Its determinant factor cancels within a head, and in mixture gates if exactly the same metric is used for every component. It does not cancel when component kernels have different metrics. In that case the model is explicitly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d>
      </m:oMath>
      <w:r>
        <w:t>, and the corresponding component-specific normalized likelihood must enter each evidence. Omitting its determinant changes the gates.</w:t>
      </w:r>
    </w:p>
    <w:p w14:paraId="3EE596F8" w14:textId="77777777" w:rsidR="00D84A52" w:rsidRDefault="00000000">
      <w:pPr>
        <w:pStyle w:val="BodyText"/>
      </w:pPr>
      <w:r>
        <w:t>The proposal covariance need not equal this observation covariance. The proposal generates candidates; the kernel defines the retrieval question. Importance correction uses the actual proposal law, whichever covariance it has. Making both covariances equal is an implementation choice, not a condition for importance-sampling validity.</w:t>
      </w:r>
    </w:p>
    <w:p w14:paraId="08DD7739" w14:textId="77777777" w:rsidR="00147891" w:rsidRDefault="00000000">
      <w:pPr>
        <w:pStyle w:val="Heading2"/>
      </w:pPr>
      <w:bookmarkStart w:id="14" w:name="X88d39e2df1c1da3c9f20547bd5c4367b24d38fe"/>
      <w:r>
        <w:t>4.4 Fusion rules minimize different relative entropy objectives</w:t>
      </w:r>
    </w:p>
    <w:p w14:paraId="333371FE" w14:textId="77777777" w:rsidR="00147891" w:rsidRDefault="00000000">
      <w:pPr>
        <w:pStyle w:val="FirstParagraph"/>
      </w:pPr>
      <w:r>
        <w:t xml:space="preserve">Fix </w:t>
      </w:r>
      <m:oMath>
        <m:r>
          <w:rPr>
            <w:rFonts w:ascii="Cambria Math" w:hAnsi="Cambria Math"/>
          </w:rPr>
          <m:t>β</m:t>
        </m:r>
        <m:r>
          <m:rPr>
            <m:sty m:val="p"/>
          </m:rPr>
          <w:rPr>
            <w:rFonts w:ascii="Cambria Math" w:hAnsi="Cambria Math"/>
          </w:rPr>
          <m:t>&gt;</m:t>
        </m:r>
        <m:r>
          <w:rPr>
            <w:rFonts w:ascii="Cambria Math" w:hAnsi="Cambria Math"/>
          </w:rPr>
          <m:t>0</m:t>
        </m:r>
      </m:oMath>
      <w:r>
        <w:t xml:space="preserve">, positive component densities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dμ</m:t>
        </m:r>
      </m:oMath>
      <w:r>
        <w:t xml:space="preserve">, and positive weights summing to one. The geometric pool is </w:t>
      </w:r>
      <m:oMath>
        <m:sSub>
          <m:sSubPr>
            <m:ctrlPr>
              <w:rPr>
                <w:rFonts w:ascii="Cambria Math" w:hAnsi="Cambria Math"/>
              </w:rPr>
            </m:ctrlPr>
          </m:sSubPr>
          <m:e>
            <m:r>
              <w:rPr>
                <w:rFonts w:ascii="Cambria Math" w:hAnsi="Cambria Math"/>
              </w:rPr>
              <m:t>p</m:t>
            </m:r>
          </m:e>
          <m:sub>
            <m:r>
              <m:rPr>
                <m:sty m:val="p"/>
              </m:rPr>
              <w:rPr>
                <w:rFonts w:ascii="Cambria Math" w:hAnsi="Cambria Math"/>
              </w:rPr>
              <m:t>geo</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m:rPr>
                <m:sty m:val="p"/>
              </m:rPr>
              <w:rPr>
                <w:rFonts w:ascii="Cambria Math" w:hAnsi="Cambria Math"/>
              </w:rPr>
              <m:t>geo</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j</m:t>
                </m:r>
              </m:sub>
              <m:sup>
                <m:sSub>
                  <m:sSubPr>
                    <m:ctrlPr>
                      <w:rPr>
                        <w:rFonts w:ascii="Cambria Math" w:hAnsi="Cambria Math"/>
                      </w:rPr>
                    </m:ctrlPr>
                  </m:sSubPr>
                  <m:e>
                    <m:r>
                      <w:rPr>
                        <w:rFonts w:ascii="Cambria Math" w:hAnsi="Cambria Math"/>
                      </w:rPr>
                      <m:t>λ</m:t>
                    </m:r>
                  </m:e>
                  <m:sub>
                    <m:r>
                      <w:rPr>
                        <w:rFonts w:ascii="Cambria Math" w:hAnsi="Cambria Math"/>
                      </w:rPr>
                      <m:t>j</m:t>
                    </m:r>
                  </m:sub>
                </m:sSub>
              </m:sup>
            </m:sSubSup>
          </m:e>
        </m:nary>
      </m:oMath>
      <w:r>
        <w:t xml:space="preserve">; the arithmetic pool is </w:t>
      </w:r>
      <m:oMath>
        <m:sSub>
          <m:sSubPr>
            <m:ctrlPr>
              <w:rPr>
                <w:rFonts w:ascii="Cambria Math" w:hAnsi="Cambria Math"/>
              </w:rPr>
            </m:ctrlPr>
          </m:sSubPr>
          <m:e>
            <m:r>
              <w:rPr>
                <w:rFonts w:ascii="Cambria Math" w:hAnsi="Cambria Math"/>
              </w:rPr>
              <m:t>p</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For the Gibbs components in Section 4.1, </w:t>
      </w:r>
      <m:oMath>
        <m:sSub>
          <m:sSubPr>
            <m:ctrlPr>
              <w:rPr>
                <w:rFonts w:ascii="Cambria Math" w:hAnsi="Cambria Math"/>
              </w:rPr>
            </m:ctrlPr>
          </m:sSubPr>
          <m:e>
            <m:r>
              <w:rPr>
                <w:rFonts w:ascii="Cambria Math" w:hAnsi="Cambria Math"/>
              </w:rPr>
              <m:t>Z</m:t>
            </m:r>
          </m:e>
          <m:sub>
            <m:r>
              <m:rPr>
                <m:sty m:val="p"/>
              </m:rPr>
              <w:rPr>
                <w:rFonts w:ascii="Cambria Math" w:hAnsi="Cambria Math"/>
              </w:rPr>
              <m:t>geo</m:t>
            </m:r>
          </m:sub>
        </m:sSub>
        <m:r>
          <m:rPr>
            <m:sty m:val="p"/>
          </m:rPr>
          <w:rPr>
            <w:rFonts w:ascii="Cambria Math" w:hAnsi="Cambria Math"/>
          </w:rPr>
          <m:t>&gt;</m:t>
        </m:r>
        <m:r>
          <w:rPr>
            <w:rFonts w:ascii="Cambria Math" w:hAnsi="Cambria Math"/>
          </w:rPr>
          <m:t>0</m:t>
        </m:r>
      </m:oMath>
      <w:r>
        <w:t xml:space="preserve"> and the geometric pool is exactly the weighted-sum target. This connects early fusion with logarithmic pooling [18].</w:t>
      </w:r>
    </w:p>
    <w:p w14:paraId="57A8DE29" w14:textId="77777777" w:rsidR="00147891" w:rsidRDefault="00000000">
      <w:pPr>
        <w:pStyle w:val="BodyText"/>
        <w:keepLines/>
      </w:pPr>
      <w:r>
        <w:rPr>
          <w:b/>
          <w:bCs/>
        </w:rPr>
        <w:t>Theorem 4.2 (two relative entropy barycenters).</w:t>
      </w:r>
      <w:r>
        <w:t xml:space="preserve"> For candidate probabilities </w:t>
      </w:r>
      <m:oMath>
        <m:r>
          <w:rPr>
            <w:rFonts w:ascii="Cambria Math" w:hAnsi="Cambria Math"/>
          </w:rPr>
          <m:t>ρ</m:t>
        </m:r>
        <m:r>
          <m:rPr>
            <m:sty m:val="p"/>
          </m:rPr>
          <w:rPr>
            <w:rFonts w:ascii="Cambria Math" w:hAnsi="Cambria Math"/>
          </w:rPr>
          <m:t>≪</m:t>
        </m:r>
        <m:r>
          <w:rPr>
            <w:rFonts w:ascii="Cambria Math" w:hAnsi="Cambria Math"/>
          </w:rPr>
          <m:t>μ</m:t>
        </m:r>
      </m:oMath>
      <w:r>
        <w:t xml:space="preserve"> for which the displayed entropy terms are finite,</w:t>
      </w:r>
    </w:p>
    <w:p w14:paraId="045FB047" w14:textId="77777777" w:rsidR="00147891"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e>
                </m:d>
              </m:e>
              <m:e>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geo</m:t>
                        </m:r>
                      </m:sub>
                    </m:sSub>
                  </m:e>
                </m:d>
                <m:r>
                  <m:rPr>
                    <m:sty m:val="p"/>
                  </m:rPr>
                  <w:rPr>
                    <w:rFonts w:ascii="Cambria Math" w:hAnsi="Cambria Math"/>
                  </w:rPr>
                  <m:t>-log</m:t>
                </m:r>
                <m:sSub>
                  <m:sSubPr>
                    <m:ctrlPr>
                      <w:rPr>
                        <w:rFonts w:ascii="Cambria Math" w:hAnsi="Cambria Math"/>
                      </w:rPr>
                    </m:ctrlPr>
                  </m:sSubPr>
                  <m:e>
                    <m:r>
                      <w:rPr>
                        <w:rFonts w:ascii="Cambria Math" w:hAnsi="Cambria Math"/>
                      </w:rPr>
                      <m:t>Z</m:t>
                    </m:r>
                  </m:e>
                  <m:sub>
                    <m:r>
                      <m:rPr>
                        <m:sty m:val="p"/>
                      </m:rPr>
                      <w:rPr>
                        <w:rFonts w:ascii="Cambria Math" w:hAnsi="Cambria Math"/>
                      </w:rPr>
                      <m:t>geo</m:t>
                    </m:r>
                  </m:sub>
                </m:sSub>
                <m:r>
                  <m:rPr>
                    <m:sty m:val="p"/>
                  </m:rPr>
                  <w:rPr>
                    <w:rFonts w:ascii="Cambria Math" w:hAnsi="Cambria Math"/>
                  </w:rPr>
                  <m:t>,</m:t>
                </m:r>
              </m:e>
            </m:mr>
            <m:m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ρ</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mix</m:t>
                        </m:r>
                      </m:sub>
                    </m:sSub>
                  </m:e>
                </m:d>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r>
                      <w:rPr>
                        <w:rFonts w:ascii="Cambria Math" w:hAnsi="Cambria Math"/>
                      </w:rPr>
                      <m:t>ρ</m:t>
                    </m:r>
                  </m:e>
                </m:d>
                <m:r>
                  <m:rPr>
                    <m:sty m:val="p"/>
                  </m:rPr>
                  <w:rPr>
                    <w:rFonts w:ascii="Cambria Math" w:hAnsi="Cambria Math"/>
                  </w:rPr>
                  <m:t>.</m:t>
                </m:r>
              </m:e>
            </m:mr>
          </m:m>
          <m:r>
            <m:rPr>
              <m:nor/>
            </m:rPr>
            <m:t xml:space="preserve">    (13)</m:t>
          </m:r>
        </m:oMath>
      </m:oMathPara>
    </w:p>
    <w:p w14:paraId="65FA3E0D" w14:textId="77777777" w:rsidR="00147891" w:rsidRDefault="00000000">
      <w:pPr>
        <w:pStyle w:val="FirstParagraph"/>
      </w:pPr>
      <w:r>
        <w:t>The two pools uniquely minimize the corresponding objectives whenever the first minimum is finite. In the second identity the constant is finite, bounded by the entropy of the weights, and the mixture is always its unique minimizer; the identity also holds with an infinite final divergence.</w:t>
      </w:r>
    </w:p>
    <w:p w14:paraId="4C2B63A5" w14:textId="77777777" w:rsidR="00147891" w:rsidRDefault="00000000">
      <w:pPr>
        <w:pStyle w:val="BodyText"/>
      </w:pPr>
      <w:r>
        <w:rPr>
          <w:i/>
          <w:iCs/>
        </w:rPr>
        <w:t>Proof.</w:t>
      </w:r>
      <w:r>
        <w:t xml:space="preserve"> Substitute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m:rPr>
                <m:sty m:val="p"/>
              </m:rPr>
              <w:rPr>
                <w:rFonts w:ascii="Cambria Math" w:hAnsi="Cambria Math"/>
              </w:rPr>
              <m:t>geo</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Z</m:t>
            </m:r>
          </m:e>
          <m:sub>
            <m:r>
              <m:rPr>
                <m:sty m:val="p"/>
              </m:rPr>
              <w:rPr>
                <w:rFonts w:ascii="Cambria Math" w:hAnsi="Cambria Math"/>
              </w:rPr>
              <m:t>geo</m:t>
            </m:r>
          </m:sub>
        </m:sSub>
      </m:oMath>
      <w:r>
        <w:t xml:space="preserve"> into the first expression. In the second, insert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r</m:t>
            </m:r>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mix</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mix</m:t>
                </m:r>
              </m:sub>
            </m:sSub>
            <m:r>
              <m:rPr>
                <m:sty m:val="p"/>
              </m:rPr>
              <w:rPr>
                <w:rFonts w:ascii="Cambria Math" w:hAnsi="Cambria Math"/>
              </w:rPr>
              <m:t>/</m:t>
            </m:r>
            <m:r>
              <w:rPr>
                <w:rFonts w:ascii="Cambria Math" w:hAnsi="Cambria Math"/>
              </w:rPr>
              <m:t>r</m:t>
            </m:r>
          </m:e>
        </m:d>
      </m:oMath>
      <w:r>
        <w:t xml:space="preserve"> and sum against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Nonnegativity of relative entropy proves minimization and equality characterizes the minimizer. Finally </w:t>
      </w:r>
      <m:oMath>
        <m:sSub>
          <m:sSubPr>
            <m:ctrlPr>
              <w:rPr>
                <w:rFonts w:ascii="Cambria Math" w:hAnsi="Cambria Math"/>
              </w:rPr>
            </m:ctrlPr>
          </m:sSubPr>
          <m:e>
            <m:r>
              <w:rPr>
                <w:rFonts w:ascii="Cambria Math" w:hAnsi="Cambria Math"/>
              </w:rPr>
              <m:t>p</m:t>
            </m:r>
          </m:e>
          <m:sub>
            <m:r>
              <m:rPr>
                <m:sty m:val="p"/>
              </m:rPr>
              <w:rPr>
                <w:rFonts w:ascii="Cambria Math" w:hAnsi="Cambria Math"/>
              </w:rPr>
              <m:t>mix</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bounds each component-to-mixture divergence by </w:t>
      </w:r>
      <m:oMath>
        <m:r>
          <m:rPr>
            <m:sty m:val="p"/>
          </m:rPr>
          <w:rPr>
            <w:rFonts w:ascii="Cambria Math" w:hAnsi="Cambria Math"/>
          </w:rPr>
          <m:t>-log</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For Gibbs components, the geometric product is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sup>
        </m:sSup>
      </m:oMath>
      <w:r>
        <w:t xml:space="preserve"> with the reference appearing once. □</w:t>
      </w:r>
    </w:p>
    <w:p w14:paraId="379A9280" w14:textId="77777777" w:rsidR="00147891" w:rsidRDefault="00000000">
      <w:pPr>
        <w:pStyle w:val="BodyText"/>
      </w:pPr>
      <w:r>
        <w:t>The first finite-minimum qualification is substantive: positive densities alone do not ensure all cross-entropies are finite. Nonnegative finite Gibbs losses with positive weights satisfy it, because exponential damping bounds the target means of the weighted losses. The identities explain why adding biases and mixing normalized heads encode different aggregation decisions. They do not select preferences, establish independent physical evidence, or prove that either rule covers every efficient design.</w:t>
      </w:r>
    </w:p>
    <w:p w14:paraId="3FF2FF02" w14:textId="77777777" w:rsidR="00147891" w:rsidRDefault="00000000">
      <w:pPr>
        <w:pStyle w:val="Heading2"/>
      </w:pPr>
      <w:bookmarkStart w:id="15" w:name="X5fc0249292e75fd537169366ea0399b98f33b02"/>
      <w:bookmarkEnd w:id="14"/>
      <w:r>
        <w:lastRenderedPageBreak/>
        <w:t>4.5 Gate variation adds a between component covariance</w:t>
      </w:r>
    </w:p>
    <w:p w14:paraId="682DC6A4" w14:textId="77777777" w:rsidR="00147891" w:rsidRDefault="00000000">
      <w:pPr>
        <w:pStyle w:val="FirstParagraph"/>
      </w:pPr>
      <w:r>
        <w:t xml:space="preserve">Use the common Gaussian kernel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of Section 4.1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Let </w:t>
      </w:r>
      <m:oMath>
        <m:sSub>
          <m:sSubPr>
            <m:ctrlPr>
              <w:rPr>
                <w:rFonts w:ascii="Cambria Math" w:hAnsi="Cambria Math"/>
              </w:rPr>
            </m:ctrlPr>
          </m:sSubPr>
          <m:e>
            <m:r>
              <w:rPr>
                <w:rFonts w:ascii="Cambria Math" w:hAnsi="Cambria Math"/>
              </w:rPr>
              <m:t>Σ</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be the conditional covariance under component </w:t>
      </w:r>
      <m:oMath>
        <m:r>
          <w:rPr>
            <w:rFonts w:ascii="Cambria Math" w:hAnsi="Cambria Math"/>
          </w:rPr>
          <m:t>j</m:t>
        </m:r>
      </m:oMath>
      <w:r>
        <w:t xml:space="preserve">,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mix</m:t>
            </m:r>
          </m:sub>
        </m:sSub>
        <m:d>
          <m:dPr>
            <m:ctrlPr>
              <w:rPr>
                <w:rFonts w:ascii="Cambria Math" w:hAnsi="Cambria Math"/>
              </w:rPr>
            </m:ctrlPr>
          </m:dPr>
          <m:e>
            <m:r>
              <w:rPr>
                <w:rFonts w:ascii="Cambria Math" w:hAnsi="Cambria Math"/>
              </w:rPr>
              <m:t>q</m:t>
            </m:r>
          </m:e>
        </m: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w:t>
      </w:r>
    </w:p>
    <w:p w14:paraId="3F2A7664" w14:textId="77777777" w:rsidR="00147891" w:rsidRDefault="00000000">
      <w:pPr>
        <w:pStyle w:val="BodyText"/>
        <w:keepLines/>
      </w:pPr>
      <w:r>
        <w:rPr>
          <w:b/>
          <w:bCs/>
        </w:rPr>
        <w:t>Proposition 4.3 (gate derivative and mixture geometry).</w:t>
      </w:r>
      <w:r>
        <w:t xml:space="preserve"> At fixed </w:t>
      </w:r>
      <m:oMath>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λ</m:t>
        </m:r>
      </m:oMath>
      <w:r>
        <w:t>,</w:t>
      </w:r>
    </w:p>
    <w:p w14:paraId="5B0CBAFC" w14:textId="77777777" w:rsidR="00147891"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q</m:t>
                    </m:r>
                  </m:sub>
                </m:sSub>
                <m:sSub>
                  <m:sSubPr>
                    <m:ctrlPr>
                      <w:rPr>
                        <w:rFonts w:ascii="Cambria Math" w:hAnsi="Cambria Math"/>
                      </w:rPr>
                    </m:ctrlPr>
                  </m:sSubPr>
                  <m:e>
                    <m:r>
                      <w:rPr>
                        <w:rFonts w:ascii="Cambria Math" w:hAnsi="Cambria Math"/>
                      </w:rPr>
                      <m:t>γ</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e>
                </m:d>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q</m:t>
                    </m:r>
                  </m:sub>
                </m:sSub>
                <m:acc>
                  <m:accPr>
                    <m:chr m:val="‾"/>
                    <m:ctrlPr>
                      <w:rPr>
                        <w:rFonts w:ascii="Cambria Math" w:hAnsi="Cambria Math"/>
                      </w:rPr>
                    </m:ctrlPr>
                  </m:accPr>
                  <m:e>
                    <m:r>
                      <w:rPr>
                        <w:rFonts w:ascii="Cambria Math" w:hAnsi="Cambria Math"/>
                      </w:rPr>
                      <m:t>m</m:t>
                    </m:r>
                  </m:e>
                </m:acc>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e>
                        </m:d>
                      </m:e>
                      <m:sup>
                        <m:r>
                          <w:rPr>
                            <w:rFonts w:ascii="Cambria Math" w:hAnsi="Cambria Math"/>
                          </w:rPr>
                          <m:t>T</m:t>
                        </m:r>
                      </m:sup>
                    </m:sSup>
                  </m:e>
                </m:d>
                <m:r>
                  <m:rPr>
                    <m:sty m:val="p"/>
                  </m:rPr>
                  <w:rPr>
                    <w:rFonts w:ascii="Cambria Math" w:hAnsi="Cambria Math"/>
                  </w:rPr>
                  <m:t>≽</m:t>
                </m:r>
                <m:r>
                  <w:rPr>
                    <w:rFonts w:ascii="Cambria Math" w:hAnsi="Cambria Math"/>
                  </w:rPr>
                  <m:t>0</m:t>
                </m:r>
                <m:r>
                  <m:rPr>
                    <m:sty m:val="p"/>
                  </m:rPr>
                  <w:rPr>
                    <w:rFonts w:ascii="Cambria Math" w:hAnsi="Cambria Math"/>
                  </w:rPr>
                  <m:t>.</m:t>
                </m:r>
              </m:e>
            </m:mr>
          </m:m>
          <m:r>
            <m:rPr>
              <m:nor/>
            </m:rPr>
            <m:t xml:space="preserve">    (14)</m:t>
          </m:r>
        </m:oMath>
      </m:oMathPara>
    </w:p>
    <w:p w14:paraId="126E3B87" w14:textId="77777777" w:rsidR="00147891" w:rsidRDefault="00000000">
      <w:pPr>
        <w:pStyle w:val="FirstParagraph"/>
      </w:pPr>
      <w:r>
        <w:t xml:space="preserve">All conditional moments exist without unconditional prior moments. The mixture mean is a smooth monotone map, but contractive component means need not give a contractive mixture mean, even after scaling by </w:t>
      </w:r>
      <m:oMath>
        <m:rad>
          <m:radPr>
            <m:degHide m:val="1"/>
            <m:ctrlPr>
              <w:rPr>
                <w:rFonts w:ascii="Cambria Math" w:hAnsi="Cambria Math"/>
              </w:rPr>
            </m:ctrlPr>
          </m:radPr>
          <m:deg/>
          <m:e>
            <m:r>
              <w:rPr>
                <w:rFonts w:ascii="Cambria Math" w:hAnsi="Cambria Math"/>
              </w:rPr>
              <m:t>a</m:t>
            </m:r>
          </m:e>
        </m:rad>
      </m:oMath>
      <w:r>
        <w:t>.</w:t>
      </w:r>
    </w:p>
    <w:p w14:paraId="29EE65B0" w14:textId="77777777" w:rsidR="00147891" w:rsidRDefault="00000000">
      <w:pPr>
        <w:pStyle w:val="BodyText"/>
      </w:pPr>
      <w:r>
        <w:rPr>
          <w:i/>
          <w:iCs/>
        </w:rPr>
        <w:t>Proof.</w:t>
      </w:r>
      <w:r>
        <w:t xml:space="preserve"> Gaussian likelihood times any polynomial in the design is bounded locally uniformly in the query. Differentiation under each finite component probability is therefore valid. Its evidence score is </w:t>
      </w:r>
      <m:oMath>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q</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and its mean derivative is </w:t>
      </w:r>
      <m:oMath>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Σ</m:t>
            </m:r>
          </m:e>
          <m:sub>
            <m:r>
              <w:rPr>
                <w:rFonts w:ascii="Cambria Math" w:hAnsi="Cambria Math"/>
              </w:rPr>
              <m:t>j</m:t>
            </m:r>
          </m:sub>
        </m:sSub>
      </m:oMath>
      <w:r>
        <w:t>, the Gaussian conditional-mean identity [19]. Differentiate the normalized gates, then the mixture mean, to obtain (14). The bracket is also the law of total covariance conditional on the query. Integrating the positive semidefinite Jacobian along a segment proves monotonicity. □</w:t>
      </w:r>
    </w:p>
    <w:p w14:paraId="39BFDAE4" w14:textId="77777777" w:rsidR="00147891" w:rsidRDefault="00000000">
      <w:pPr>
        <w:pStyle w:val="BodyText"/>
      </w:pPr>
      <w:r>
        <w:t xml:space="preserve">For a concrete counterexample, take equal components </w:t>
      </w:r>
      <m:oMath>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e>
        </m:d>
      </m:oMath>
      <w:r>
        <w:t xml:space="preserve"> and </w:t>
      </w:r>
      <m:oMath>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v</m:t>
            </m:r>
          </m:e>
        </m:d>
      </m:oMath>
      <w:r>
        <w:t xml:space="preserve"> in one dimension. Put </w:t>
      </w:r>
      <m:oMath>
        <m:r>
          <w:rPr>
            <w:rFonts w:ascii="Cambria Math" w:hAnsi="Cambria Math"/>
          </w:rPr>
          <m:t>s</m:t>
        </m:r>
        <m:r>
          <m:rPr>
            <m:sty m:val="p"/>
          </m:rPr>
          <w:rPr>
            <w:rFonts w:ascii="Cambria Math" w:hAnsi="Cambria Math"/>
          </w:rPr>
          <m:t>=</m:t>
        </m:r>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oMath>
      <w:r>
        <w:t xml:space="preserve">. Each scaled component mean has derivative </w:t>
      </w:r>
      <m:oMath>
        <m:r>
          <w:rPr>
            <w:rFonts w:ascii="Cambria Math" w:hAnsi="Cambria Math"/>
          </w:rPr>
          <m:t>av</m:t>
        </m:r>
        <m:r>
          <m:rPr>
            <m:sty m:val="p"/>
          </m:rPr>
          <w:rPr>
            <w:rFonts w:ascii="Cambria Math" w:hAnsi="Cambria Math"/>
          </w:rPr>
          <m:t>/</m:t>
        </m:r>
        <m:r>
          <w:rPr>
            <w:rFonts w:ascii="Cambria Math" w:hAnsi="Cambria Math"/>
          </w:rPr>
          <m:t>s</m:t>
        </m:r>
        <m:r>
          <m:rPr>
            <m:sty m:val="p"/>
          </m:rPr>
          <w:rPr>
            <w:rFonts w:ascii="Cambria Math" w:hAnsi="Cambria Math"/>
          </w:rPr>
          <m:t>&lt;</m:t>
        </m:r>
        <m:r>
          <w:rPr>
            <w:rFonts w:ascii="Cambria Math" w:hAnsi="Cambria Math"/>
          </w:rPr>
          <m:t>1</m:t>
        </m:r>
      </m:oMath>
      <w:r>
        <w:t xml:space="preserve">, while the scaled mixture derivative at query zero is </w:t>
      </w:r>
      <m:oMath>
        <m:r>
          <w:rPr>
            <w:rFonts w:ascii="Cambria Math" w:hAnsi="Cambria Math"/>
          </w:rPr>
          <m:t>av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At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w:t>
      </w:r>
      <m:oMath>
        <m:r>
          <w:rPr>
            <w:rFonts w:ascii="Cambria Math" w:hAnsi="Cambria Math"/>
          </w:rPr>
          <m:t>M</m:t>
        </m:r>
        <m:r>
          <m:rPr>
            <m:sty m:val="p"/>
          </m:rPr>
          <w:rPr>
            <w:rFonts w:ascii="Cambria Math" w:hAnsi="Cambria Math"/>
          </w:rPr>
          <m:t>=</m:t>
        </m:r>
        <m:r>
          <w:rPr>
            <w:rFonts w:ascii="Cambria Math" w:hAnsi="Cambria Math"/>
          </w:rPr>
          <m:t>2</m:t>
        </m:r>
      </m:oMath>
      <w:r>
        <w:t xml:space="preserve">, these values are </w:t>
      </w:r>
      <m:oMath>
        <m:r>
          <w:rPr>
            <w:rFonts w:ascii="Cambria Math" w:hAnsi="Cambria Math"/>
          </w:rPr>
          <m:t>1</m:t>
        </m:r>
        <m:r>
          <m:rPr>
            <m:sty m:val="p"/>
          </m:rPr>
          <w:rPr>
            <w:rFonts w:ascii="Cambria Math" w:hAnsi="Cambria Math"/>
          </w:rPr>
          <m:t>/</m:t>
        </m:r>
        <m:r>
          <w:rPr>
            <w:rFonts w:ascii="Cambria Math" w:hAnsi="Cambria Math"/>
          </w:rPr>
          <m:t>5</m:t>
        </m:r>
      </m:oMath>
      <w:r>
        <w:t xml:space="preserve"> and </w:t>
      </w:r>
      <m:oMath>
        <m:r>
          <w:rPr>
            <w:rFonts w:ascii="Cambria Math" w:hAnsi="Cambria Math"/>
          </w:rPr>
          <m:t>69</m:t>
        </m:r>
        <m:r>
          <m:rPr>
            <m:sty m:val="p"/>
          </m:rPr>
          <w:rPr>
            <w:rFonts w:ascii="Cambria Math" w:hAnsi="Cambria Math"/>
          </w:rPr>
          <m:t>/</m:t>
        </m:r>
        <m:r>
          <w:rPr>
            <w:rFonts w:ascii="Cambria Math" w:hAnsi="Cambria Math"/>
          </w:rPr>
          <m:t>25</m:t>
        </m:r>
      </m:oMath>
      <w:r>
        <w:t>. Thus each head is contractive and their evidence-gated mixture is locally expansive. The component distributions can be represented as finite nonnegative loss tilts of their equal mixture reference. A stability claim must control both within-component spread and separation between conditional means.</w:t>
      </w:r>
    </w:p>
    <w:p w14:paraId="103D4163" w14:textId="77777777" w:rsidR="00147891" w:rsidRDefault="00000000">
      <w:pPr>
        <w:pStyle w:val="Heading2"/>
      </w:pPr>
      <w:bookmarkStart w:id="16" w:name="Xbb32e11c90d4c0fcf39d2e2096d16abc2fcb9d0"/>
      <w:bookmarkEnd w:id="15"/>
      <w:r>
        <w:t>4.6 Sharp gates from interval response records</w:t>
      </w:r>
    </w:p>
    <w:p w14:paraId="19021D4D" w14:textId="77777777" w:rsidR="00147891" w:rsidRDefault="00000000">
      <w:pPr>
        <w:pStyle w:val="FirstParagraph"/>
      </w:pPr>
      <w:r>
        <w:t xml:space="preserve">Consider a finite archive with known nonnegative corrections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at least one positive, and known common kernel values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Component losses satisfy finite independent bounds </w:t>
      </w:r>
      <m:oMath>
        <m:sSub>
          <m:sSubPr>
            <m:ctrlPr>
              <w:rPr>
                <w:rFonts w:ascii="Cambria Math" w:hAnsi="Cambria Math"/>
              </w:rPr>
            </m:ctrlPr>
          </m:sSubPr>
          <m:e>
            <m:r>
              <w:rPr>
                <w:rFonts w:ascii="Cambria Math" w:hAnsi="Cambria Math"/>
              </w:rPr>
              <m:t>L</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ji</m:t>
            </m:r>
          </m:sub>
        </m:sSub>
      </m:oMath>
      <w:r>
        <w:t xml:space="preserve">. Put </w:t>
      </w:r>
      <m:oMath>
        <m:sSub>
          <m:sSubPr>
            <m:ctrlPr>
              <w:rPr>
                <w:rFonts w:ascii="Cambria Math" w:hAnsi="Cambria Math"/>
              </w:rPr>
            </m:ctrlPr>
          </m:sSubPr>
          <m:e>
            <m:r>
              <w:rPr>
                <w:rFonts w:ascii="Cambria Math" w:hAnsi="Cambria Math"/>
              </w:rPr>
              <m:t>a</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ji</m:t>
                </m:r>
              </m:sub>
            </m:sSub>
          </m:sup>
        </m:sSup>
      </m:oMath>
      <w:r>
        <w:t xml:space="preserve">, </w:t>
      </w:r>
      <m:oMath>
        <m:sSub>
          <m:sSubPr>
            <m:ctrlPr>
              <w:rPr>
                <w:rFonts w:ascii="Cambria Math" w:hAnsi="Cambria Math"/>
              </w:rPr>
            </m:ctrlPr>
          </m:sSubPr>
          <m:e>
            <m:r>
              <w:rPr>
                <w:rFonts w:ascii="Cambria Math" w:hAnsi="Cambria Math"/>
              </w:rPr>
              <m:t>b</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ji</m:t>
                </m:r>
              </m:sub>
            </m:sSub>
          </m:sup>
        </m:sSup>
      </m:oMath>
      <w:r>
        <w:t xml:space="preserve">. A component evidence is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ji</m:t>
                </m:r>
              </m:sub>
            </m:sSub>
          </m:e>
        </m:nary>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ji</m:t>
                </m:r>
              </m:sub>
            </m:sSub>
          </m:e>
        </m:nary>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ji</m:t>
            </m:r>
          </m:sub>
        </m:sSub>
      </m:oMath>
      <w:r>
        <w:t xml:space="preserve">. The symbols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here denote evidence values, not rank-level sets.</w:t>
      </w:r>
    </w:p>
    <w:p w14:paraId="012ADE81" w14:textId="77777777" w:rsidR="00147891" w:rsidRDefault="00000000">
      <w:pPr>
        <w:pStyle w:val="BodyText"/>
        <w:keepLines/>
      </w:pPr>
      <w:r>
        <w:rPr>
          <w:b/>
          <w:bCs/>
        </w:rPr>
        <w:t>Theorem 4.4 (sharp evidence and gate intervals).</w:t>
      </w:r>
      <w:r>
        <w:t xml:space="preserve"> Define</w:t>
      </w:r>
    </w:p>
    <w:p w14:paraId="64A6B1EF" w14:textId="77777777" w:rsidR="00147891"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ji</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t</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ji</m:t>
                            </m:r>
                          </m:sub>
                        </m:sSub>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e>
                          <m:sub>
                            <m:r>
                              <m:rPr>
                                <m:sty m:val="p"/>
                              </m:rPr>
                              <w:rPr>
                                <w:rFonts w:ascii="Cambria Math" w:hAnsi="Cambria Math"/>
                              </w:rPr>
                              <m:t>+</m:t>
                            </m:r>
                          </m:sub>
                        </m:sSub>
                      </m:e>
                    </m:d>
                  </m:e>
                </m:nary>
                <m:r>
                  <m:rPr>
                    <m:sty m:val="p"/>
                  </m:rPr>
                  <w:rPr>
                    <w:rFonts w:ascii="Cambria Math" w:hAnsi="Cambria Math"/>
                  </w:rPr>
                  <m:t>,</m:t>
                </m:r>
              </m:e>
            </m:mr>
            <m:m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ji</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t</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ji</m:t>
                            </m:r>
                          </m:sub>
                        </m:sSub>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e>
                          <m:sub>
                            <m:r>
                              <m:rPr>
                                <m:sty m:val="p"/>
                              </m:rPr>
                              <w:rPr>
                                <w:rFonts w:ascii="Cambria Math" w:hAnsi="Cambria Math"/>
                              </w:rPr>
                              <m:t>+</m:t>
                            </m:r>
                          </m:sub>
                        </m:sSub>
                      </m:e>
                    </m:d>
                  </m:e>
                </m:nary>
                <m:r>
                  <m:rPr>
                    <m:sty m:val="p"/>
                  </m:rPr>
                  <w:rPr>
                    <w:rFonts w:ascii="Cambria Math" w:hAnsi="Cambria Math"/>
                  </w:rPr>
                  <m:t>.</m:t>
                </m:r>
              </m:e>
            </m:mr>
          </m:m>
          <m:r>
            <m:rPr>
              <m:nor/>
            </m:rPr>
            <m:t xml:space="preserve">    (15)</m:t>
          </m:r>
        </m:oMath>
      </m:oMathPara>
    </w:p>
    <w:p w14:paraId="6A050B12" w14:textId="77777777" w:rsidR="00147891" w:rsidRDefault="00000000">
      <w:pPr>
        <w:pStyle w:val="FirstParagraph"/>
      </w:pPr>
      <w:r>
        <w:t xml:space="preserve">Their unique zeros </w:t>
      </w:r>
      <m:oMath>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oMath>
      <w:r>
        <w:t xml:space="preserve"> on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e>
        </m:d>
      </m:oMath>
      <w:r>
        <w:t xml:space="preserve"> are the attainable evidence extrema. For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the sharp coordinate gate interval is</w:t>
      </w:r>
    </w:p>
    <w:p w14:paraId="5E869066" w14:textId="77777777" w:rsidR="00147891" w:rsidRDefault="00000000">
      <w:pPr>
        <w:pStyle w:val="BodyText"/>
        <w:keepLines/>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den>
          </m:f>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den>
          </m:f>
          <m:r>
            <m:rPr>
              <m:sty m:val="p"/>
            </m:rPr>
            <w:rPr>
              <w:rFonts w:ascii="Cambria Math" w:hAnsi="Cambria Math"/>
            </w:rPr>
            <m:t>.</m:t>
          </m:r>
          <m:r>
            <m:rPr>
              <m:nor/>
            </m:rPr>
            <m:t xml:space="preserve">    (16)</m:t>
          </m:r>
        </m:oMath>
      </m:oMathPara>
    </w:p>
    <w:p w14:paraId="6B5E713E" w14:textId="77777777" w:rsidR="00147891" w:rsidRDefault="00000000">
      <w:pPr>
        <w:pStyle w:val="FirstParagraph"/>
      </w:pPr>
      <w:r>
        <w:t>Nested response refinement tightens both the evidence and gate intervals monotonically.</w:t>
      </w:r>
    </w:p>
    <w:p w14:paraId="212B4FB6" w14:textId="77777777" w:rsidR="00147891" w:rsidRDefault="00000000">
      <w:pPr>
        <w:pStyle w:val="BodyText"/>
      </w:pPr>
      <w:r>
        <w:rPr>
          <w:i/>
          <w:iCs/>
        </w:rPr>
        <w:t>Proof.</w:t>
      </w:r>
      <w:r>
        <w:t xml:space="preserve"> For fixed </w:t>
      </w:r>
      <m:oMath>
        <m:r>
          <w:rPr>
            <w:rFonts w:ascii="Cambria Math" w:hAnsi="Cambria Math"/>
          </w:rPr>
          <m:t>t</m:t>
        </m:r>
      </m:oMath>
      <w:r>
        <w:t xml:space="preserve">, maximizing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ji</m:t>
                </m:r>
              </m:sub>
            </m:sSub>
          </m:e>
        </m:nary>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t</m:t>
            </m:r>
          </m:e>
        </m:d>
      </m:oMath>
      <w:r>
        <w:t xml:space="preserve"> chooses </w:t>
      </w:r>
      <m:oMath>
        <m:sSub>
          <m:sSubPr>
            <m:ctrlPr>
              <w:rPr>
                <w:rFonts w:ascii="Cambria Math" w:hAnsi="Cambria Math"/>
              </w:rPr>
            </m:ctrlPr>
          </m:sSubPr>
          <m:e>
            <m:r>
              <w:rPr>
                <w:rFonts w:ascii="Cambria Math" w:hAnsi="Cambria Math"/>
              </w:rPr>
              <m:t>b</m:t>
            </m:r>
          </m:e>
          <m:sub>
            <m:r>
              <w:rPr>
                <w:rFonts w:ascii="Cambria Math" w:hAnsi="Cambria Math"/>
              </w:rPr>
              <m:t>ji</m:t>
            </m:r>
          </m:sub>
        </m:sSub>
      </m:oMath>
      <w:r>
        <w:t xml:space="preserve"> on positive terms and </w:t>
      </w:r>
      <m:oMath>
        <m:sSub>
          <m:sSubPr>
            <m:ctrlPr>
              <w:rPr>
                <w:rFonts w:ascii="Cambria Math" w:hAnsi="Cambria Math"/>
              </w:rPr>
            </m:ctrlPr>
          </m:sSubPr>
          <m:e>
            <m:r>
              <w:rPr>
                <w:rFonts w:ascii="Cambria Math" w:hAnsi="Cambria Math"/>
              </w:rPr>
              <m:t>a</m:t>
            </m:r>
          </m:e>
          <m:sub>
            <m:r>
              <w:rPr>
                <w:rFonts w:ascii="Cambria Math" w:hAnsi="Cambria Math"/>
              </w:rPr>
              <m:t>ji</m:t>
            </m:r>
          </m:sub>
        </m:sSub>
      </m:oMath>
      <w:r>
        <w:t xml:space="preserve"> on negative terms, giving </w:t>
      </w:r>
      <m:oMath>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sup>
        </m:sSubSup>
      </m:oMath>
      <w:r>
        <w:t xml:space="preserve">. The pointwise minimum gives </w:t>
      </w:r>
      <m:oMath>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sup>
        </m:sSubSup>
      </m:oMath>
      <w:r>
        <w:t xml:space="preserve">. Each function decreases by at least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ji</m:t>
                </m:r>
              </m:sub>
            </m:sSub>
          </m:e>
        </m:nary>
        <m:r>
          <m:rPr>
            <m:sty m:val="p"/>
          </m:rPr>
          <w:rPr>
            <w:rFonts w:ascii="Cambria Math" w:hAnsi="Cambria Math"/>
          </w:rPr>
          <m:t>&gt;</m:t>
        </m:r>
        <m:r>
          <w:rPr>
            <w:rFonts w:ascii="Cambria Math" w:hAnsi="Cambria Math"/>
          </w:rPr>
          <m:t>0</m:t>
        </m:r>
      </m:oMath>
      <w:r>
        <w:t xml:space="preserve"> between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brackets zero at the kernel extrema. At its root the chosen endpoint weights attain a zero numerator, proving sharpness for the ratio. A gate increases with its own evidence and decreases with every other evidence. </w:t>
      </w:r>
      <w:r>
        <w:lastRenderedPageBreak/>
        <w:t>Independence of the component response boxes permits simultaneous endpoint choices for a specified gate, proving (16). Refinement shrinks the admissible weight sets. □</w:t>
      </w:r>
    </w:p>
    <w:p w14:paraId="159DBA15" w14:textId="77777777" w:rsidR="00147891" w:rsidRDefault="00000000">
      <w:pPr>
        <w:pStyle w:val="BodyText"/>
      </w:pPr>
      <w:r>
        <w:t>For zero preference the corresponding gate is identically zero. With one positive component its gate is one. The scalar roots can be found by sorting kernel breakpoints or monotone bisection; certification requires outward bounds on exponentials and sums. Different coordinate gate extrema generally cannot all be attained together. Moreover, the gate and conditional mean of one head depend on the same response weights. Combining their independently computed extrema therefore gives only an outer bound on the fused mean. Unknown responses can enter this calculation only through valid bounds; arbitrary imputation does not become an exact observed vector.</w:t>
      </w:r>
    </w:p>
    <w:p w14:paraId="5EF87D9C" w14:textId="77777777" w:rsidR="00D84A52" w:rsidRDefault="00000000">
      <w:pPr>
        <w:pStyle w:val="Heading1"/>
      </w:pPr>
      <w:bookmarkStart w:id="17" w:name="ranks-and-a-frozen-reference-target"/>
      <w:bookmarkEnd w:id="10"/>
      <w:bookmarkEnd w:id="13"/>
      <w:bookmarkEnd w:id="16"/>
      <w:r>
        <w:t>5 Ranks and a frozen reference target</w:t>
      </w:r>
    </w:p>
    <w:p w14:paraId="7DF7BC89" w14:textId="77777777" w:rsidR="00D84A52" w:rsidRDefault="00000000">
      <w:pPr>
        <w:pStyle w:val="Heading2"/>
      </w:pPr>
      <w:bookmarkStart w:id="18" w:name="current-archive-ranks"/>
      <w:r>
        <w:t>5.1 Current archive ranks</w:t>
      </w:r>
    </w:p>
    <w:p w14:paraId="2408BF12" w14:textId="77777777" w:rsidR="00D84A52" w:rsidRDefault="00000000">
      <w:pPr>
        <w:pStyle w:val="FirstParagraph"/>
      </w:pPr>
      <w:r>
        <w:t xml:space="preserve">Nondominated sorting assigns rank zero to the nondominated records, removes them, and repeats on the remainder [6]. A current-archive bias such as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e>
        </m:d>
      </m:oMath>
      <w:r>
        <w:t xml:space="preserve"> is invariant under strictly increasing coordinate transformations of the objectives. The pairwise order and all fronts are preserved. Bit-identical search trajectories additionally require the same random stream, tie handling, and all other operations to depend on the objectives only through these ranks. Floating-point overflow or objective-dependent side rules can defeat that implementation property.</w:t>
      </w:r>
    </w:p>
    <w:p w14:paraId="7E96CD35" w14:textId="77777777" w:rsidR="00D84A52" w:rsidRDefault="00000000">
      <w:pPr>
        <w:pStyle w:val="BodyText"/>
      </w:pPr>
      <w:r>
        <w:t xml:space="preserve">The rank is generally not additive across objectives. For the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0.7</m:t>
            </m:r>
          </m:e>
        </m:d>
      </m:oMath>
      <w:r>
        <w:t xml:space="preserve">, the ranks are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Any representation </w:t>
      </w:r>
      <m:oMath>
        <m:r>
          <w:rPr>
            <w:rFonts w:ascii="Cambria Math" w:hAnsi="Cambria Math"/>
          </w:rPr>
          <m:t>r</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v</m:t>
            </m:r>
          </m:e>
        </m:d>
      </m:oMath>
      <w:r>
        <w:t xml:space="preserve"> would satisfy the rectangle identity </w:t>
      </w:r>
      <m:oMath>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here the two sides are 3 and 2. This provides an explicit nonseparability witness.</w:t>
      </w:r>
    </w:p>
    <w:p w14:paraId="7A4B68E1" w14:textId="77777777" w:rsidR="00D84A52" w:rsidRDefault="00000000">
      <w:pPr>
        <w:pStyle w:val="BodyText"/>
      </w:pPr>
      <w:r>
        <w:t>Rank-zero records maximize a pure rank bias but need not maximize the full attention logit, which also depends on distance and any sampling correction. Moreover, both ranks and the normalization by maximum rank change as the archive grows. They are valid proposal signals, but do not define a single fixed population loss.</w:t>
      </w:r>
    </w:p>
    <w:p w14:paraId="3A037F0B" w14:textId="77777777" w:rsidR="00D84A52" w:rsidRDefault="00000000">
      <w:pPr>
        <w:pStyle w:val="Heading2"/>
      </w:pPr>
      <w:bookmarkStart w:id="19" w:name="X482b95033360e04044ca67b7eb87db8ab370bd8"/>
      <w:bookmarkEnd w:id="18"/>
      <w:r>
        <w:t>5.2 A finite-level loss with a fixed reference</w:t>
      </w:r>
    </w:p>
    <w:p w14:paraId="332D93DA" w14:textId="77777777" w:rsidR="00D84A52" w:rsidRDefault="00000000">
      <w:pPr>
        <w:pStyle w:val="FirstParagraph"/>
        <w:keepNext/>
      </w:pPr>
      <w:r>
        <w:t xml:space="preserve">Fix a finite reference set </w:t>
      </w:r>
      <m:oMath>
        <m:r>
          <w:rPr>
            <w:rFonts w:ascii="Cambria Math" w:hAnsi="Cambria Math"/>
          </w:rPr>
          <m:t>A</m:t>
        </m:r>
      </m:oMath>
      <w:r>
        <w:t xml:space="preserve"> in objective space. Define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as the maximum number of reference points in a strict dominance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or zero if no reference point dominates </w:t>
      </w:r>
      <m:oMath>
        <m:r>
          <w:rPr>
            <w:rFonts w:ascii="Cambria Math" w:hAnsi="Cambria Math"/>
          </w:rPr>
          <m:t>v</m:t>
        </m:r>
      </m:oMath>
      <w:r>
        <w:t xml:space="preserve">. This is a measurable integer-valued function taking values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e>
        </m:d>
      </m:oMath>
      <w:r>
        <w:t xml:space="preserve">. Let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e>
        </m:d>
      </m:oMath>
      <w:r>
        <w:t xml:space="preserve">.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 fixed target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sup>
        </m:sSup>
        <m:r>
          <w:rPr>
            <w:rFonts w:ascii="Cambria Math" w:hAnsi="Cambria Math"/>
          </w:rPr>
          <m:t>μ</m:t>
        </m:r>
        <m:d>
          <m:dPr>
            <m:ctrlPr>
              <w:rPr>
                <w:rFonts w:ascii="Cambria Math" w:hAnsi="Cambria Math"/>
              </w:rPr>
            </m:ctrlPr>
          </m:dPr>
          <m:e>
            <m:r>
              <w:rPr>
                <w:rFonts w:ascii="Cambria Math" w:hAnsi="Cambria Math"/>
              </w:rPr>
              <m:t>dx</m:t>
            </m:r>
          </m:e>
        </m:d>
      </m:oMath>
      <w:r>
        <w:t xml:space="preserve"> satisfies</w:t>
      </w:r>
    </w:p>
    <w:p w14:paraId="768DD747"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e>
          </m:d>
          <m:r>
            <m:rPr>
              <m:sty m:val="p"/>
            </m:rPr>
            <w:rPr>
              <w:rFonts w:ascii="Cambria Math" w:hAnsi="Cambria Math"/>
            </w:rPr>
            <m:t>.</m:t>
          </m:r>
          <m:r>
            <m:rPr>
              <m:nor/>
            </m:rPr>
            <m:t xml:space="preserve">    (17)</m:t>
          </m:r>
        </m:oMath>
      </m:oMathPara>
    </w:p>
    <w:p w14:paraId="3A88AAC4" w14:textId="77777777" w:rsidR="00D84A52" w:rsidRDefault="00000000">
      <w:pPr>
        <w:pStyle w:val="FirstParagraph"/>
      </w:pPr>
      <w:r>
        <w:t xml:space="preserve">The numerator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and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Designs in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need only be undominated by the chosen reference. They can be globally dominated by feasible designs absent from it.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r>
          <w:rPr>
            <w:rFonts w:ascii="Cambria Math" w:hAnsi="Cambria Math"/>
          </w:rPr>
          <m:t>0</m:t>
        </m:r>
      </m:oMath>
      <w:r>
        <w:t>, (17) has no meaning; the relevant lowest positive-mass rank must be analyzed instead.</w:t>
      </w:r>
    </w:p>
    <w:p w14:paraId="280BF14E" w14:textId="77777777" w:rsidR="00D84A52" w:rsidRDefault="00000000">
      <w:pPr>
        <w:pStyle w:val="BodyText"/>
      </w:pPr>
      <w:r>
        <w:t xml:space="preserve">The integer gap and positive rank-zero mass also lead to a useful archive result in Section 6: unlike a smooth isolated-minimum target with shrinking low-loss mass, a frozen-rank target needs no cooling-rate restriction to concentrate its corrected archive on </w:t>
      </w:r>
      <m:oMath>
        <m:sSub>
          <m:sSubPr>
            <m:ctrlPr>
              <w:rPr>
                <w:rFonts w:ascii="Cambria Math" w:hAnsi="Cambria Math"/>
              </w:rPr>
            </m:ctrlPr>
          </m:sSubPr>
          <m:e>
            <m:r>
              <w:rPr>
                <w:rFonts w:ascii="Cambria Math" w:hAnsi="Cambria Math"/>
              </w:rPr>
              <m:t>M</m:t>
            </m:r>
          </m:e>
          <m:sub>
            <m:r>
              <w:rPr>
                <w:rFonts w:ascii="Cambria Math" w:hAnsi="Cambria Math"/>
              </w:rPr>
              <m:t>A</m:t>
            </m:r>
          </m:sub>
        </m:sSub>
      </m:oMath>
      <w:r>
        <w:t>.</w:t>
      </w:r>
    </w:p>
    <w:p w14:paraId="6D34F77A" w14:textId="77777777" w:rsidR="00D84A52" w:rsidRDefault="00000000">
      <w:pPr>
        <w:pStyle w:val="Heading1"/>
      </w:pPr>
      <w:bookmarkStart w:id="20" w:name="X45bd8e2e2283036533b553672816cd3b9fa10c1"/>
      <w:bookmarkEnd w:id="17"/>
      <w:bookmarkEnd w:id="19"/>
      <w:r>
        <w:t>6 One archive for a declared preference family</w:t>
      </w:r>
    </w:p>
    <w:p w14:paraId="240701BA" w14:textId="77777777" w:rsidR="00D84A52" w:rsidRDefault="00000000">
      <w:pPr>
        <w:pStyle w:val="Heading2"/>
      </w:pPr>
      <w:bookmarkStart w:id="21" w:name="sampling-and-observation-contract"/>
      <w:r>
        <w:t>6.1 Sampling and observation contract</w:t>
      </w:r>
    </w:p>
    <w:p w14:paraId="3BDA0088" w14:textId="77777777" w:rsidR="00D84A52" w:rsidRDefault="00000000">
      <w:pPr>
        <w:pStyle w:val="FirstParagraph"/>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include every earlier state, response, observation decision, and auxiliary random variable. Choose a predictable proposal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oMath>
      <w:r>
        <w:t xml:space="preserve"> as measures, with fixed </w:t>
      </w:r>
      <m:oMath>
        <m:r>
          <w:rPr>
            <w:rFonts w:ascii="Cambria Math" w:hAnsi="Cambria Math"/>
          </w:rPr>
          <m:t>ε</m:t>
        </m:r>
        <m:r>
          <m:rPr>
            <m:sty m:val="p"/>
          </m:rPr>
          <w:rPr>
            <w:rFonts w:ascii="Cambria Math" w:hAnsi="Cambria Math"/>
          </w:rPr>
          <m:t>&gt;</m:t>
        </m:r>
        <m:r>
          <w:rPr>
            <w:rFonts w:ascii="Cambria Math" w:hAnsi="Cambria Math"/>
          </w:rPr>
          <m:t>0</m:t>
        </m:r>
      </m:oMath>
      <w:r>
        <w:t xml:space="preserve">, and draw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conditionally on the </w:t>
      </w:r>
      <w:r>
        <w:lastRenderedPageBreak/>
        <w:t xml:space="preserve">past. The derivative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exists and obeys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almost surely under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ordinary common-reference densities it is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for mixed laws it must account for atoms.</w:t>
      </w:r>
    </w:p>
    <w:p w14:paraId="35533195" w14:textId="77777777" w:rsidR="00D84A52" w:rsidRDefault="00000000">
      <w:pPr>
        <w:pStyle w:val="BodyText"/>
        <w:keepNext/>
      </w:pPr>
      <w:r>
        <w:t xml:space="preserve">Before the expensive response, choose a predictable inclusion function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draw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with conditional success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Included records contain the exact compatible objective vector.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assigning zero directly to a skipped record. For a fixed nonnegative scalar loss </w:t>
      </w:r>
      <m:oMath>
        <m:r>
          <w:rPr>
            <w:rFonts w:ascii="Cambria Math" w:hAnsi="Cambria Math"/>
          </w:rPr>
          <m:t>S</m:t>
        </m:r>
      </m:oMath>
      <w:r>
        <w:t xml:space="preserve">, use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Then</w:t>
      </w:r>
    </w:p>
    <w:p w14:paraId="53A1E23E" w14:textId="77777777" w:rsidR="00D84A52" w:rsidRDefault="00000000">
      <w:pPr>
        <w:pStyle w:val="BodyText"/>
        <w:keepLines/>
        <w:spacing w:before="60" w:after="120"/>
        <w:jc w:val="cente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m:rPr>
              <m:nor/>
            </m:rPr>
            <m:t>    </m:t>
          </m:r>
          <m:r>
            <w:rPr>
              <w:rFonts w:ascii="Cambria Math" w:hAnsi="Cambria Math"/>
            </w:rPr>
            <m:t>dμ</m:t>
          </m:r>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xml:space="preserve">    (18)</m:t>
          </m:r>
        </m:oMath>
      </m:oMathPara>
    </w:p>
    <w:p w14:paraId="04713872" w14:textId="77777777" w:rsidR="00D84A52" w:rsidRDefault="00000000">
      <w:pPr>
        <w:pStyle w:val="FirstParagraph"/>
      </w:pPr>
      <w:r>
        <w:t>The conditional identity follows by integrating inclusion and then sampling. Defensive mixtures provide the required domination [7]. The shared record stores the response vector and the original generating law, rather than one permanent preference weight.</w:t>
      </w:r>
    </w:p>
    <w:p w14:paraId="068F31AD" w14:textId="77777777" w:rsidR="00D84A52" w:rsidRDefault="00000000">
      <w:pPr>
        <w:pStyle w:val="BodyText"/>
        <w:keepLines/>
      </w:pPr>
      <w:r>
        <w:rPr>
          <w:b/>
          <w:bCs/>
        </w:rPr>
        <w:t>Theorem 6.1 — Fixed preference consistency.</w:t>
      </w:r>
      <w:r>
        <w:t xml:space="preserve"> Under (18), for every fixed </w:t>
      </w:r>
      <m:oMath>
        <m:r>
          <w:rPr>
            <w:rFonts w:ascii="Cambria Math" w:hAnsi="Cambria Math"/>
          </w:rPr>
          <m:t>S</m:t>
        </m:r>
      </m:oMath>
      <w:r>
        <w:t xml:space="preserve"> and bounded measurable </w:t>
      </w:r>
      <m:oMath>
        <m:r>
          <w:rPr>
            <w:rFonts w:ascii="Cambria Math" w:hAnsi="Cambria Math"/>
          </w:rPr>
          <m:t>h</m:t>
        </m:r>
      </m:oMath>
      <w:r>
        <w:t xml:space="preserve">, the self-normalized ratio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S</m:t>
            </m:r>
          </m:e>
        </m:d>
      </m:oMath>
      <w:r>
        <w:t xml:space="preserve"> converges almost surely to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r>
          <w:rPr>
            <w:rFonts w:ascii="Cambria Math" w:hAnsi="Cambria Math"/>
          </w:rPr>
          <m:t>h</m:t>
        </m:r>
      </m:oMath>
      <w:r>
        <w:t>. The denominator is eventually positive. Any finite list of fixed scalarizations satisfies these conclusions simultaneously.</w:t>
      </w:r>
    </w:p>
    <w:p w14:paraId="3E717F88" w14:textId="77777777" w:rsidR="00D84A52" w:rsidRDefault="00000000">
      <w:pPr>
        <w:pStyle w:val="BodyText"/>
      </w:pPr>
      <w:r>
        <w:rPr>
          <w:b/>
          <w:bCs/>
        </w:rPr>
        <w:t>Proof.</w:t>
      </w:r>
      <w:r>
        <w:t xml:space="preserve"> The numerator and denominator, centered at their conditional expectations in (18), are sums of bounded martingale differences. Their averages converge almost surely by a martingale concentration bound and Borel–Cantelli. Divide by the positive limiting normalizer. A finite intersection preserves probability one. </w:t>
      </w:r>
      <m:oMath>
        <m:r>
          <m:rPr>
            <m:sty m:val="p"/>
          </m:rPr>
          <w:rPr>
            <w:rFonts w:ascii="Cambria Math" w:hAnsi="Cambria Math"/>
          </w:rPr>
          <m:t>▫</m:t>
        </m:r>
      </m:oMath>
    </w:p>
    <w:p w14:paraId="23365B66" w14:textId="77777777" w:rsidR="00D84A52" w:rsidRDefault="00000000">
      <w:pPr>
        <w:pStyle w:val="BodyText"/>
      </w:pPr>
      <w:r>
        <w:t>The unnormalized averages are unbiased at each fixed sample size. Their ratio generally is not. One cannot claim an unbiased estimate after choosing a preference from the same archive merely by applying (18), since the chosen preference is then not fixed before the records. A uniform result addresses consistency for such selection.</w:t>
      </w:r>
    </w:p>
    <w:p w14:paraId="775D2D78" w14:textId="77777777" w:rsidR="00D84A52" w:rsidRDefault="00000000">
      <w:pPr>
        <w:pStyle w:val="Heading2"/>
      </w:pPr>
      <w:bookmarkStart w:id="22" w:name="uniform-preference-reuse"/>
      <w:bookmarkEnd w:id="21"/>
      <w:r>
        <w:t>6.2 Uniform preference reuse</w:t>
      </w:r>
    </w:p>
    <w:p w14:paraId="4CA6577E" w14:textId="77777777" w:rsidR="00147891" w:rsidRDefault="00000000">
      <w:pPr>
        <w:pStyle w:val="FirstParagraph"/>
        <w:keepLines/>
      </w:pPr>
      <w:r>
        <w:rPr>
          <w:b/>
          <w:bCs/>
        </w:rPr>
        <w:t>Theorem 6.2 (uniform reuse without bounded objectives).</w:t>
      </w:r>
      <w:r>
        <w:t xml:space="preserve"> Assume the sampling and observation contract (18), finite nonnegative normalized objectives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almost everywhere under </w:t>
      </w:r>
      <m:oMath>
        <m:r>
          <w:rPr>
            <w:rFonts w:ascii="Cambria Math" w:hAnsi="Cambria Math"/>
          </w:rPr>
          <m:t>μ</m:t>
        </m:r>
      </m:oMath>
      <w:r>
        <w:t xml:space="preserve">, bounded measurable </w:t>
      </w:r>
      <m:oMath>
        <m:r>
          <w:rPr>
            <w:rFonts w:ascii="Cambria Math" w:hAnsi="Cambria Math"/>
          </w:rPr>
          <m:t>h</m:t>
        </m:r>
      </m:oMath>
      <w:r>
        <w:t xml:space="preserve">, and a fixed finite reference vector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oMath>
      <w:r>
        <w:t xml:space="preserve"> for Chebyshev fusion. Let </w:t>
      </w:r>
      <m:oMath>
        <m:r>
          <w:rPr>
            <w:rFonts w:ascii="Cambria Math" w:hAnsi="Cambria Math"/>
          </w:rPr>
          <m:t>λ</m:t>
        </m:r>
      </m:oMath>
      <w:r>
        <w:t xml:space="preserve"> range over the full closed simplex and </w:t>
      </w:r>
      <m:oMath>
        <m:r>
          <w:rPr>
            <w:rFonts w:ascii="Cambria Math" w:hAnsi="Cambria Math"/>
          </w:rPr>
          <m:t>β</m:t>
        </m:r>
      </m:oMath>
      <w:r>
        <w:t xml:space="preserve"> over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oMath>
      <w:r>
        <w:t xml:space="preserve">, with finite </w:t>
      </w:r>
      <m:oMath>
        <m:sSub>
          <m:sSubPr>
            <m:ctrlPr>
              <w:rPr>
                <w:rFonts w:ascii="Cambria Math" w:hAnsi="Cambria Math"/>
              </w:rPr>
            </m:ctrlPr>
          </m:sSubPr>
          <m:e>
            <m:r>
              <w:rPr>
                <w:rFonts w:ascii="Cambria Math" w:hAnsi="Cambria Math"/>
              </w:rPr>
              <m:t>β</m:t>
            </m:r>
          </m:e>
          <m:sub>
            <m:r>
              <m:rPr>
                <m:sty m:val="p"/>
              </m:rPr>
              <w:rPr>
                <w:rFonts w:ascii="Cambria Math" w:hAnsi="Cambria Math"/>
              </w:rPr>
              <m:t>+</m:t>
            </m:r>
          </m:sub>
        </m:sSub>
      </m:oMath>
      <w:r>
        <w:t>. For either scalar fusion rule, the corrected ratios converge uniformly almost surely to their target expectations. This includes preferences and temperatures selected from the archive within this family. No uniform upper bound on the objective values is required.</w:t>
      </w:r>
    </w:p>
    <w:p w14:paraId="24776334" w14:textId="77777777" w:rsidR="00147891" w:rsidRDefault="00000000">
      <w:pPr>
        <w:pStyle w:val="BodyText"/>
      </w:pPr>
      <w:r>
        <w:rPr>
          <w:i/>
          <w:iCs/>
        </w:rPr>
        <w:t>Proof.</w:t>
      </w:r>
      <w:r>
        <w:t xml:space="preserve"> We first prove a bounded integrand-family law. Let </w:t>
      </w:r>
      <m:oMath>
        <m:r>
          <w:rPr>
            <w:rFonts w:ascii="Cambria Math" w:hAnsi="Cambria Math"/>
          </w:rPr>
          <m:t>Θ</m:t>
        </m:r>
      </m:oMath>
      <w:r>
        <w:t xml:space="preserve"> be a compact metric parameter space and let </w:t>
      </w:r>
      <m:oMath>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y</m:t>
            </m:r>
          </m:e>
        </m:d>
      </m:oMath>
      <w:r>
        <w:t xml:space="preserve"> be measurable in </w:t>
      </w:r>
      <m:oMath>
        <m:r>
          <w:rPr>
            <w:rFonts w:ascii="Cambria Math" w:hAnsi="Cambria Math"/>
          </w:rPr>
          <m:t>y</m:t>
        </m:r>
      </m:oMath>
      <w:r>
        <w:t xml:space="preserve">, continuous in </w:t>
      </w:r>
      <m:oMath>
        <m:r>
          <w:rPr>
            <w:rFonts w:ascii="Cambria Math" w:hAnsi="Cambria Math"/>
          </w:rPr>
          <m:t>θ</m:t>
        </m:r>
      </m:oMath>
      <w:r>
        <w:t xml:space="preserve"> for almost every </w:t>
      </w:r>
      <m:oMath>
        <m:r>
          <w:rPr>
            <w:rFonts w:ascii="Cambria Math" w:hAnsi="Cambria Math"/>
          </w:rPr>
          <m:t>y</m:t>
        </m:r>
      </m:oMath>
      <w:r>
        <w:t xml:space="preserve">, and bounded in absolute value by a common finite constant. Set </w:t>
      </w:r>
      <m:oMath>
        <m:sSub>
          <m:sSubPr>
            <m:ctrlPr>
              <w:rPr>
                <w:rFonts w:ascii="Cambria Math" w:hAnsi="Cambria Math"/>
              </w:rPr>
            </m:ctrlPr>
          </m:sSubPr>
          <m:e>
            <m:r>
              <w:rPr>
                <w:rFonts w:ascii="Cambria Math" w:hAnsi="Cambria Math"/>
              </w:rPr>
              <m:t>ω</m:t>
            </m:r>
          </m:e>
          <m:sub>
            <m:r>
              <w:rPr>
                <w:rFonts w:ascii="Cambria Math" w:hAnsi="Cambria Math"/>
              </w:rPr>
              <m:t>δ</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d</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e>
            </m:d>
            <m:r>
              <m:rPr>
                <m:sty m:val="p"/>
              </m:rPr>
              <w:rPr>
                <w:rFonts w:ascii="Cambria Math" w:hAnsi="Cambria Math"/>
              </w:rPr>
              <m:t>&lt;</m:t>
            </m:r>
            <m:r>
              <w:rPr>
                <w:rFonts w:ascii="Cambria Math" w:hAnsi="Cambria Math"/>
              </w:rPr>
              <m:t>δ</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sub>
            </m:sSub>
            <m:d>
              <m:dPr>
                <m:ctrlPr>
                  <w:rPr>
                    <w:rFonts w:ascii="Cambria Math" w:hAnsi="Cambria Math"/>
                  </w:rPr>
                </m:ctrlPr>
              </m:dPr>
              <m:e>
                <m:r>
                  <w:rPr>
                    <w:rFonts w:ascii="Cambria Math" w:hAnsi="Cambria Math"/>
                  </w:rPr>
                  <m:t>y</m:t>
                </m:r>
              </m:e>
            </m:d>
          </m:e>
        </m:d>
      </m:oMath>
      <w:r>
        <w:t xml:space="preserve">. The supremum is measurable through countable dense subsets, and pointwise continuity on the compact parameter space gives </w:t>
      </w:r>
      <m:oMath>
        <m:sSub>
          <m:sSubPr>
            <m:ctrlPr>
              <w:rPr>
                <w:rFonts w:ascii="Cambria Math" w:hAnsi="Cambria Math"/>
              </w:rPr>
            </m:ctrlPr>
          </m:sSubPr>
          <m:e>
            <m:r>
              <w:rPr>
                <w:rFonts w:ascii="Cambria Math" w:hAnsi="Cambria Math"/>
              </w:rPr>
              <m:t>ω</m:t>
            </m:r>
          </m:e>
          <m:sub>
            <m:r>
              <w:rPr>
                <w:rFonts w:ascii="Cambria Math" w:hAnsi="Cambria Math"/>
              </w:rPr>
              <m:t>δ</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0</m:t>
        </m:r>
      </m:oMath>
      <w:r>
        <w:t xml:space="preserve">. Dominated convergence yields </w:t>
      </w:r>
      <m:oMath>
        <m:r>
          <w:rPr>
            <w:rFonts w:ascii="Cambria Math" w:hAnsi="Cambria Math"/>
          </w:rPr>
          <m:t>μ</m:t>
        </m:r>
        <m:sSub>
          <m:sSubPr>
            <m:ctrlPr>
              <w:rPr>
                <w:rFonts w:ascii="Cambria Math" w:hAnsi="Cambria Math"/>
              </w:rPr>
            </m:ctrlPr>
          </m:sSubPr>
          <m:e>
            <m:r>
              <w:rPr>
                <w:rFonts w:ascii="Cambria Math" w:hAnsi="Cambria Math"/>
              </w:rPr>
              <m:t>ω</m:t>
            </m:r>
          </m:e>
          <m:sub>
            <m:r>
              <w:rPr>
                <w:rFonts w:ascii="Cambria Math" w:hAnsi="Cambria Math"/>
              </w:rPr>
              <m:t>δ</m:t>
            </m:r>
          </m:sub>
        </m:sSub>
        <m:r>
          <m:rPr>
            <m:sty m:val="p"/>
          </m:rPr>
          <w:rPr>
            <w:rFonts w:ascii="Cambria Math" w:hAnsi="Cambria Math"/>
          </w:rPr>
          <m:t>→</m:t>
        </m:r>
        <m:r>
          <w:rPr>
            <w:rFonts w:ascii="Cambria Math" w:hAnsi="Cambria Math"/>
          </w:rPr>
          <m:t>0</m:t>
        </m:r>
      </m:oMath>
      <w:r>
        <w:t>.</w:t>
      </w:r>
    </w:p>
    <w:p w14:paraId="132580FC" w14:textId="77777777" w:rsidR="00147891" w:rsidRDefault="00000000">
      <w:pPr>
        <w:pStyle w:val="BodyText"/>
      </w:pPr>
      <w:r>
        <w:t xml:space="preserve">For a fixed finite </w:t>
      </w:r>
      <m:oMath>
        <m:r>
          <w:rPr>
            <w:rFonts w:ascii="Cambria Math" w:hAnsi="Cambria Math"/>
          </w:rPr>
          <m:t>δ</m:t>
        </m:r>
      </m:oMath>
      <w:r>
        <w:t xml:space="preserve">-net, the corrected averages converge at every net point by the bounded martingale strong law. The average of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2δ</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converges to </w:t>
      </w:r>
      <m:oMath>
        <m:r>
          <w:rPr>
            <w:rFonts w:ascii="Cambria Math" w:hAnsi="Cambria Math"/>
          </w:rPr>
          <m:t>μ</m:t>
        </m:r>
        <m:sSub>
          <m:sSubPr>
            <m:ctrlPr>
              <w:rPr>
                <w:rFonts w:ascii="Cambria Math" w:hAnsi="Cambria Math"/>
              </w:rPr>
            </m:ctrlPr>
          </m:sSubPr>
          <m:e>
            <m:r>
              <w:rPr>
                <w:rFonts w:ascii="Cambria Math" w:hAnsi="Cambria Math"/>
              </w:rPr>
              <m:t>ω</m:t>
            </m:r>
          </m:e>
          <m:sub>
            <m:r>
              <w:rPr>
                <w:rFonts w:ascii="Cambria Math" w:hAnsi="Cambria Math"/>
              </w:rPr>
              <m:t>2δ</m:t>
            </m:r>
          </m:sub>
        </m:sSub>
      </m:oMath>
      <w:r>
        <w:t xml:space="preserve"> by the same law. Thus the uniform deviation is bounded in the limit by </w:t>
      </w:r>
      <m:oMath>
        <m:r>
          <w:rPr>
            <w:rFonts w:ascii="Cambria Math" w:hAnsi="Cambria Math"/>
          </w:rPr>
          <m:t>2μ</m:t>
        </m:r>
        <m:sSub>
          <m:sSubPr>
            <m:ctrlPr>
              <w:rPr>
                <w:rFonts w:ascii="Cambria Math" w:hAnsi="Cambria Math"/>
              </w:rPr>
            </m:ctrlPr>
          </m:sSubPr>
          <m:e>
            <m:r>
              <w:rPr>
                <w:rFonts w:ascii="Cambria Math" w:hAnsi="Cambria Math"/>
              </w:rPr>
              <m:t>ω</m:t>
            </m:r>
          </m:e>
          <m:sub>
            <m:r>
              <w:rPr>
                <w:rFonts w:ascii="Cambria Math" w:hAnsi="Cambria Math"/>
              </w:rPr>
              <m:t>2δ</m:t>
            </m:r>
          </m:sub>
        </m:sSub>
      </m:oMath>
      <w:r>
        <w:t xml:space="preserve">. Taking a countable sequence </w:t>
      </w:r>
      <m:oMath>
        <m:r>
          <w:rPr>
            <w:rFonts w:ascii="Cambria Math" w:hAnsi="Cambria Math"/>
          </w:rPr>
          <m:t>δ</m:t>
        </m:r>
        <m:r>
          <m:rPr>
            <m:sty m:val="p"/>
          </m:rPr>
          <w:rPr>
            <w:rFonts w:ascii="Cambria Math" w:hAnsi="Cambria Math"/>
          </w:rPr>
          <m:t>↓</m:t>
        </m:r>
        <m:r>
          <w:rPr>
            <w:rFonts w:ascii="Cambria Math" w:hAnsi="Cambria Math"/>
          </w:rPr>
          <m:t>0</m:t>
        </m:r>
      </m:oMath>
      <w:r>
        <w:t xml:space="preserve"> proves uniform convergence. This argument also handles a bounded factor </w:t>
      </w:r>
      <m:oMath>
        <m:r>
          <w:rPr>
            <w:rFonts w:ascii="Cambria Math" w:hAnsi="Cambria Math"/>
          </w:rPr>
          <m:t>h</m:t>
        </m:r>
      </m:oMath>
      <w:r>
        <w:t>.</w:t>
      </w:r>
    </w:p>
    <w:p w14:paraId="20D1F4C7" w14:textId="77777777" w:rsidR="00147891" w:rsidRDefault="00000000">
      <w:pPr>
        <w:pStyle w:val="BodyText"/>
      </w:pPr>
      <w:r>
        <w:t xml:space="preserve">Apply the result to </w:t>
      </w:r>
      <m:oMath>
        <m:sSub>
          <m:sSubPr>
            <m:ctrlPr>
              <w:rPr>
                <w:rFonts w:ascii="Cambria Math" w:hAnsi="Cambria Math"/>
              </w:rPr>
            </m:ctrlPr>
          </m:sSubPr>
          <m:e>
            <m:r>
              <w:rPr>
                <w:rFonts w:ascii="Cambria Math" w:hAnsi="Cambria Math"/>
              </w:rPr>
              <m:t>f</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sup>
        </m:sSup>
      </m:oMath>
      <w:r>
        <w:t xml:space="preserve"> and </w:t>
      </w:r>
      <m:oMath>
        <m:r>
          <w:rPr>
            <w:rFonts w:ascii="Cambria Math" w:hAnsi="Cambria Math"/>
          </w:rPr>
          <m:t>h</m:t>
        </m:r>
        <m:sSub>
          <m:sSubPr>
            <m:ctrlPr>
              <w:rPr>
                <w:rFonts w:ascii="Cambria Math" w:hAnsi="Cambria Math"/>
              </w:rPr>
            </m:ctrlPr>
          </m:sSubPr>
          <m:e>
            <m:r>
              <w:rPr>
                <w:rFonts w:ascii="Cambria Math" w:hAnsi="Cambria Math"/>
              </w:rPr>
              <m:t>f</m:t>
            </m:r>
          </m:e>
          <m:sub>
            <m:r>
              <w:rPr>
                <w:rFonts w:ascii="Cambria Math" w:hAnsi="Cambria Math"/>
              </w:rPr>
              <m:t>λ</m:t>
            </m:r>
            <m:r>
              <m:rPr>
                <m:sty m:val="p"/>
              </m:rPr>
              <w:rPr>
                <w:rFonts w:ascii="Cambria Math" w:hAnsi="Cambria Math"/>
              </w:rPr>
              <m:t>,</m:t>
            </m:r>
            <m:r>
              <w:rPr>
                <w:rFonts w:ascii="Cambria Math" w:hAnsi="Cambria Math"/>
              </w:rPr>
              <m:t>β</m:t>
            </m:r>
          </m:sub>
        </m:sSub>
      </m:oMath>
      <w:r>
        <w:t>, or their Chebyshev counterparts. They are bounded and pointwise continuous even at simplex faces and at zero inverse temperature. Every normalizer is positive, and continuity on the compact parameter family gives a common positive minimum. Uniform division proves the theorem. Values on the common null set where objectives are not finite can be assigned harmless placeholders. □</w:t>
      </w:r>
    </w:p>
    <w:p w14:paraId="31A836BC" w14:textId="77777777" w:rsidR="00147891" w:rsidRDefault="00000000">
      <w:pPr>
        <w:pStyle w:val="BodyText"/>
      </w:pPr>
      <w:r>
        <w:t>This is an asymptotic result for bounded reports, not a computable finite-sample rate. The proof uses reference integrals of local oscillations that need not be known. Increasing the upper temperature bound with the archive size is outside this compact-family argument. The next corollary gives an additional condition for unbounded objective moments.</w:t>
      </w:r>
    </w:p>
    <w:p w14:paraId="1D4885DE" w14:textId="77777777" w:rsidR="00D84A52" w:rsidRDefault="00000000">
      <w:pPr>
        <w:pStyle w:val="BodyText"/>
      </w:pPr>
      <w:r>
        <w:lastRenderedPageBreak/>
        <w:t>The bounded-report law permits unbounded response families but does not provide a finite-sample confidence interval. Compact query sets and closed Gaussian layer intervals inside zero and one can also be handled using bounded Gaussian-polynomial envelopes in the kernel-weighted numerators. Diverging temperatures and unbounded objective reports require additional arguments. Corollary 6.3 supplies sufficient conditions for objective moments.</w:t>
      </w:r>
    </w:p>
    <w:p w14:paraId="024458A3" w14:textId="77777777" w:rsidR="00147891" w:rsidRDefault="00000000">
      <w:pPr>
        <w:pStyle w:val="FirstParagraph"/>
        <w:keepLines/>
      </w:pPr>
      <w:r>
        <w:rPr>
          <w:b/>
          <w:bCs/>
        </w:rPr>
        <w:t>Corollary 6.3 (uniform loss moments inside the preference simplex).</w:t>
      </w:r>
      <w:r>
        <w:t xml:space="preserve"> Assume finite nonnegative objectives almost everywhere under the reference,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η</m:t>
        </m:r>
        <m:r>
          <m:rPr>
            <m:sty m:val="p"/>
          </m:rPr>
          <w:rPr>
            <w:rFonts w:ascii="Cambria Math" w:hAnsi="Cambria Math"/>
          </w:rPr>
          <m:t>&gt;</m:t>
        </m:r>
        <m:r>
          <w:rPr>
            <w:rFonts w:ascii="Cambria Math" w:hAnsi="Cambria Math"/>
          </w:rPr>
          <m:t>0</m:t>
        </m:r>
      </m:oMath>
      <w:r>
        <w:t xml:space="preserve"> for every coordinate, and </w:t>
      </w:r>
      <m:oMath>
        <m:r>
          <w:rPr>
            <w:rFonts w:ascii="Cambria Math" w:hAnsi="Cambria Math"/>
          </w:rPr>
          <m:t>β</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oMath>
      <w:r>
        <w:t xml:space="preserve"> with </w:t>
      </w:r>
      <m:oMath>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For either scalar fusion rule of Theorem 6.2, every fixed objective moment </w:t>
      </w:r>
      <m:oMath>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r</m:t>
            </m:r>
          </m:sup>
        </m:sSubSup>
      </m:oMath>
      <w:r>
        <w:t xml:space="preserve">, </w:t>
      </w:r>
      <m:oMath>
        <m:r>
          <w:rPr>
            <w:rFonts w:ascii="Cambria Math" w:hAnsi="Cambria Math"/>
          </w:rPr>
          <m:t>r</m:t>
        </m:r>
        <m:r>
          <m:rPr>
            <m:sty m:val="p"/>
          </m:rPr>
          <w:rPr>
            <w:rFonts w:ascii="Cambria Math" w:hAnsi="Cambria Math"/>
          </w:rPr>
          <m:t>&gt;</m:t>
        </m:r>
        <m:r>
          <w:rPr>
            <w:rFonts w:ascii="Cambria Math" w:hAnsi="Cambria Math"/>
          </w:rPr>
          <m:t>0</m:t>
        </m:r>
      </m:oMath>
      <w:r>
        <w:t>, has a uniformly strongly consistent corrected estimate over this parameter family.</w:t>
      </w:r>
    </w:p>
    <w:p w14:paraId="13092788" w14:textId="77777777" w:rsidR="00147891" w:rsidRDefault="00000000">
      <w:pPr>
        <w:pStyle w:val="BodyText"/>
      </w:pPr>
      <w:r>
        <w:rPr>
          <w:i/>
          <w:iCs/>
        </w:rPr>
        <w:t>Proof.</w:t>
      </w:r>
      <w:r>
        <w:t xml:space="preserve"> For the sum,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for Chebyshev fusion with fixed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λ</m:t>
            </m:r>
          </m:sub>
        </m:sSub>
        <m:r>
          <m:rPr>
            <m:sty m:val="p"/>
          </m:rPr>
          <w:rPr>
            <w:rFonts w:ascii="Cambria Math" w:hAnsi="Cambria Math"/>
          </w:rPr>
          <m:t>≥</m:t>
        </m:r>
        <m: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Hence </w:t>
      </w:r>
      <m:oMath>
        <m:sSubSup>
          <m:sSubSupPr>
            <m:ctrlPr>
              <w:rPr>
                <w:rFonts w:ascii="Cambria Math" w:hAnsi="Cambria Math"/>
              </w:rPr>
            </m:ctrlPr>
          </m:sSubSupPr>
          <m:e>
            <m:r>
              <w:rPr>
                <w:rFonts w:ascii="Cambria Math" w:hAnsi="Cambria Math"/>
              </w:rPr>
              <m:t>G</m:t>
            </m:r>
          </m:e>
          <m:sub>
            <m:r>
              <w:rPr>
                <w:rFonts w:ascii="Cambria Math" w:hAnsi="Cambria Math"/>
              </w:rPr>
              <m:t>j</m:t>
            </m:r>
          </m:sub>
          <m:sup>
            <m:r>
              <w:rPr>
                <w:rFonts w:ascii="Cambria Math" w:hAnsi="Cambria Math"/>
              </w:rPr>
              <m:t>r</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sup>
        </m:sSup>
      </m:oMath>
      <w:r>
        <w:t xml:space="preserve"> and its Chebyshev counterpart are bounded by </w:t>
      </w:r>
      <m:oMath>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w:rPr>
                        <w:rFonts w:ascii="Cambria Math" w:hAnsi="Cambria Math"/>
                      </w:rPr>
                      <m:t>η</m:t>
                    </m:r>
                  </m:e>
                </m:d>
              </m:e>
            </m:d>
          </m:e>
          <m:sup>
            <m:r>
              <w:rPr>
                <w:rFonts w:ascii="Cambria Math" w:hAnsi="Cambria Math"/>
              </w:rPr>
              <m:t>r</m:t>
            </m:r>
          </m:sup>
        </m:sSup>
      </m:oMath>
      <w:r>
        <w:t>. They are continuous in the parameters at each design. The uniformly bounded integrand argument in Theorem 6.2 applies, and the same positive normalizer minimum completes the ratio proof. □</w:t>
      </w:r>
    </w:p>
    <w:p w14:paraId="613E365E" w14:textId="77777777" w:rsidR="00147891" w:rsidRDefault="00000000">
      <w:pPr>
        <w:pStyle w:val="BodyText"/>
      </w:pPr>
      <w:r>
        <w:t xml:space="preserve">The interior restriction cannot simply be removed for unbounded reports. For example, let the reference on the positive integers have mass </w:t>
      </w:r>
      <m:oMath>
        <m:r>
          <w:rPr>
            <w:rFonts w:ascii="Cambria Math" w:hAnsi="Cambria Math"/>
          </w:rPr>
          <m:t>6</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and let </w:t>
      </w:r>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n</m:t>
        </m:r>
      </m:oMath>
      <w:r>
        <w:t xml:space="preserve">. At preference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the weighted-sum target is the reference itself, whose mean of </w:t>
      </w:r>
      <m:oMath>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is infinite. The bounded-report theorem still holds, but no finite objective-mean conclusion is available there.</w:t>
      </w:r>
    </w:p>
    <w:p w14:paraId="2AB89A34" w14:textId="77777777" w:rsidR="00147891" w:rsidRDefault="00000000">
      <w:pPr>
        <w:pStyle w:val="Heading2"/>
      </w:pPr>
      <w:bookmarkStart w:id="23" w:name="X8a0be5e550ee0b0a1a0981e399a6a8a448b7591"/>
      <w:r>
        <w:t>6.3 Fixed finite ranks with data selected cooling</w:t>
      </w:r>
    </w:p>
    <w:bookmarkEnd w:id="23"/>
    <w:p w14:paraId="07007F81" w14:textId="77777777" w:rsidR="00147891" w:rsidRDefault="00000000">
      <w:pPr>
        <w:pStyle w:val="FirstParagraph"/>
        <w:keepLines/>
      </w:pPr>
      <w:r>
        <w:rPr>
          <w:b/>
          <w:bCs/>
        </w:rPr>
        <w:t>Theorem 6.4 (finite ranks and arbitrary diverging selected temperatures).</w:t>
      </w:r>
      <w:r>
        <w:t xml:space="preserve"> Under (18), fix the finite reference set </w:t>
      </w:r>
      <m:oMath>
        <m:r>
          <w:rPr>
            <w:rFonts w:ascii="Cambria Math" w:hAnsi="Cambria Math"/>
          </w:rPr>
          <m:t>A</m:t>
        </m:r>
      </m:oMath>
      <w:r>
        <w:t xml:space="preserve">. Let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k</m:t>
            </m:r>
          </m:e>
        </m:d>
      </m:oMath>
      <w:r>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m:rPr>
                <m:sty m:val="p"/>
              </m:rPr>
              <w:rPr>
                <w:rFonts w:ascii="Cambria Math" w:hAnsi="Cambria Math"/>
              </w:rPr>
              <m:t>&gt;</m:t>
            </m:r>
            <m:r>
              <w:rPr>
                <w:rFonts w:ascii="Cambria Math" w:hAnsi="Cambria Math"/>
              </w:rPr>
              <m:t>0</m:t>
            </m:r>
          </m:e>
        </m:d>
      </m:oMath>
      <w:r>
        <w:t xml:space="preserve">. For any nonnegative, possibly archive-selected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almost surely, and every fixed bounded measurable </w:t>
      </w:r>
      <m:oMath>
        <m:r>
          <w:rPr>
            <w:rFonts w:ascii="Cambria Math" w:hAnsi="Cambria Math"/>
          </w:rPr>
          <m:t>h</m:t>
        </m:r>
      </m:oMath>
      <w:r>
        <w:t xml:space="preserve">, the corrected frozen-rank archive converges almost surely to </w:t>
      </w:r>
      <m:oMath>
        <m:r>
          <w:rPr>
            <w:rFonts w:ascii="Cambria Math" w:hAnsi="Cambria Math"/>
          </w:rPr>
          <m:t>μ</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e>
        </m:d>
      </m:oMath>
      <w:r>
        <w:t xml:space="preserve">. In particular, its mass outside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k</m:t>
                </m:r>
              </m:e>
              <m:sub>
                <m:r>
                  <m:rPr>
                    <m:sty m:val="p"/>
                  </m:rPr>
                  <w:rPr>
                    <w:rFonts w:ascii="Cambria Math" w:hAnsi="Cambria Math"/>
                  </w:rPr>
                  <m:t>*</m:t>
                </m:r>
              </m:sub>
            </m:sSub>
          </m:sub>
        </m:sSub>
      </m:oMath>
      <w:r>
        <w:t xml:space="preserve"> tends to zero. When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this is the rank-zero conditional target.</w:t>
      </w:r>
    </w:p>
    <w:p w14:paraId="39283DB2" w14:textId="77777777" w:rsidR="00147891" w:rsidRDefault="00000000">
      <w:pPr>
        <w:pStyle w:val="BodyText"/>
      </w:pPr>
      <w:r>
        <w:rPr>
          <w:i/>
          <w:iCs/>
        </w:rPr>
        <w:t>Proof.</w:t>
      </w:r>
      <w:r>
        <w:t xml:space="preserve"> For each of the finitely many levels, the corrected averages of </w:t>
      </w:r>
      <m:oMath>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oMath>
      <w:r>
        <w:t xml:space="preserve"> and </w:t>
      </w:r>
      <m:oMath>
        <m:r>
          <w:rPr>
            <w:rFonts w:ascii="Cambria Math" w:hAnsi="Cambria Math"/>
          </w:rPr>
          <m:t>h</m:t>
        </m:r>
        <m:sSub>
          <m:sSubPr>
            <m:ctrlPr>
              <w:rPr>
                <w:rFonts w:ascii="Cambria Math" w:hAnsi="Cambria Math"/>
              </w:rPr>
            </m:ctrlPr>
          </m:sSubPr>
          <m:e>
            <m:r>
              <m:rPr>
                <m:sty m:val="b"/>
              </m:rP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oMath>
      <w:r>
        <w:t xml:space="preserve"> converge almost surely to their reference integrals. A level of zero reference mass contributes exactly zero almost surely at every attempt: its nonnegative corrected contribution has expectation zero. On the common probability-one event, divide all weights by </w:t>
      </w:r>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k</m:t>
                </m:r>
              </m:e>
              <m:sub>
                <m:r>
                  <m:rPr>
                    <m:sty m:val="p"/>
                  </m:rPr>
                  <w:rPr>
                    <w:rFonts w:ascii="Cambria Math" w:hAnsi="Cambria Math"/>
                  </w:rPr>
                  <m:t>*</m:t>
                </m:r>
              </m:sub>
            </m:sSub>
          </m:sup>
        </m:sSup>
      </m:oMath>
      <w:r>
        <w:t xml:space="preserve">. The lowest occupied level retains a positive limiting denominator; every larger level is multiplied by </w:t>
      </w:r>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t>
                    </m:r>
                  </m:sub>
                </m:sSub>
              </m:e>
            </m:d>
          </m:sup>
        </m:sSup>
        <m:r>
          <m:rPr>
            <m:sty m:val="p"/>
          </m:rPr>
          <w:rPr>
            <w:rFonts w:ascii="Cambria Math" w:hAnsi="Cambria Math"/>
          </w:rPr>
          <m:t>→</m:t>
        </m:r>
        <m:r>
          <w:rPr>
            <w:rFonts w:ascii="Cambria Math" w:hAnsi="Cambria Math"/>
          </w:rPr>
          <m:t>0</m:t>
        </m:r>
      </m:oMath>
      <w:r>
        <w:t>. The finite sum argument is pathwise and therefore does not require temperatures to be chosen independently of the archive. □</w:t>
      </w:r>
    </w:p>
    <w:p w14:paraId="57D3BA97" w14:textId="77777777" w:rsidR="00147891" w:rsidRDefault="00000000">
      <w:pPr>
        <w:pStyle w:val="BodyText"/>
      </w:pPr>
      <w:r>
        <w:t>The reference rank function must remain fixed. An archive-dependent reference set, infinitely many levels, approximate zero derivatives or incorrectly admitted target-null atoms can invalidate this argument. The conclusion is convergence for each fixed report; it is not total-variation convergence of an atomic empirical archive to a continuous reference law.</w:t>
      </w:r>
    </w:p>
    <w:p w14:paraId="70AA2664" w14:textId="77777777" w:rsidR="00D84A52" w:rsidRDefault="00000000">
      <w:pPr>
        <w:pStyle w:val="Heading2"/>
      </w:pPr>
      <w:bookmarkStart w:id="24" w:name="masks-and-transferred-prompts"/>
      <w:bookmarkEnd w:id="22"/>
      <w:r>
        <w:t>6.4 Masks and transferred prompts</w:t>
      </w:r>
    </w:p>
    <w:p w14:paraId="4A8FCDFA" w14:textId="77777777" w:rsidR="00D84A52" w:rsidRDefault="00000000">
      <w:pPr>
        <w:pStyle w:val="FirstParagraph"/>
      </w:pPr>
      <w:r>
        <w:t xml:space="preserve">A missing objective is unknown, not zero. A complete-vector dominance comparison or scalar loss requires the relevant responses. For randomized complete evaluation,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(18) is the joint probability that the complete required vector is available. Separate marginal inclusion probabilities cannot be multiplied unless their conditional independence is justified. Unbiased marginal response estimators do not remain unbiased after exponentiation or taking a maximum.</w:t>
      </w:r>
    </w:p>
    <w:p w14:paraId="09DDCF35" w14:textId="77777777" w:rsidR="00D84A52" w:rsidRDefault="00000000">
      <w:pPr>
        <w:pStyle w:val="BodyText"/>
      </w:pPr>
      <w:r>
        <w:t xml:space="preserve">Re-evaluating a transferred design under target objectives corrects its response semantics, but does not make the selected design a fresh draw from </w:t>
      </w:r>
      <m:oMath>
        <m:r>
          <w:rPr>
            <w:rFonts w:ascii="Cambria Math" w:hAnsi="Cambria Math"/>
          </w:rPr>
          <m:t>μ</m:t>
        </m:r>
      </m:oMath>
      <w:r>
        <w:t xml:space="preserve">. A nondominated subset filtered from a source archive generally has an unknown selection law. Such points can guide proposals and serve as verified incumbents without entering the corrected estimator. Alternatively, retain a valid generating and selection law that dominates the target, or sample a new known defensive mixture around the transferred points. With a nonatomic reference, the </w:t>
      </w:r>
      <w:r>
        <w:lastRenderedPageBreak/>
        <w:t>deterministic atom branch of such a mixture has zero integration weight, while its reference branch supports the target. If the reference has mass at the atom, its derivative there can instead be positive.</w:t>
      </w:r>
    </w:p>
    <w:p w14:paraId="1D62E080" w14:textId="77777777" w:rsidR="00147891" w:rsidRDefault="00000000">
      <w:pPr>
        <w:pStyle w:val="Heading2"/>
      </w:pPr>
      <w:bookmarkStart w:id="25" w:name="Xfb6a78d0fef8a332f04c6c92bc09848d2a1272d"/>
      <w:r>
        <w:t>6.5 What a finite preference grid can certify</w:t>
      </w:r>
    </w:p>
    <w:p w14:paraId="754B4379" w14:textId="77777777" w:rsidR="00147891" w:rsidRDefault="00000000">
      <w:pPr>
        <w:pStyle w:val="FirstParagraph"/>
        <w:keepLines/>
      </w:pPr>
      <w:r>
        <w:rPr>
          <w:b/>
          <w:bCs/>
        </w:rPr>
        <w:t>Proposition 6.5 (interpolation of preference errors).</w:t>
      </w:r>
      <w:r>
        <w:t xml:space="preserve"> Fix </w:t>
      </w:r>
      <m:oMath>
        <m:r>
          <w:rPr>
            <w:rFonts w:ascii="Cambria Math" w:hAnsi="Cambria Math"/>
          </w:rPr>
          <m:t>β</m:t>
        </m:r>
        <m:r>
          <m:rPr>
            <m:sty m:val="p"/>
          </m:rPr>
          <w:rPr>
            <w:rFonts w:ascii="Cambria Math" w:hAnsi="Cambria Math"/>
          </w:rPr>
          <m:t>&gt;</m:t>
        </m:r>
        <m:r>
          <w:rPr>
            <w:rFonts w:ascii="Cambria Math" w:hAnsi="Cambria Math"/>
          </w:rPr>
          <m:t>0</m:t>
        </m:r>
      </m:oMath>
      <w:r>
        <w:t xml:space="preserve">, bounded </w:t>
      </w:r>
      <m:oMath>
        <m:r>
          <w:rPr>
            <w:rFonts w:ascii="Cambria Math" w:hAnsi="Cambria Math"/>
          </w:rPr>
          <m:t>h</m:t>
        </m:r>
      </m:oMath>
      <w:r>
        <w:t xml:space="preserve"> in an interval of width </w:t>
      </w:r>
      <m:oMath>
        <m:sSub>
          <m:sSubPr>
            <m:ctrlPr>
              <w:rPr>
                <w:rFonts w:ascii="Cambria Math" w:hAnsi="Cambria Math"/>
              </w:rPr>
            </m:ctrlPr>
          </m:sSubPr>
          <m:e>
            <m:r>
              <w:rPr>
                <w:rFonts w:ascii="Cambria Math" w:hAnsi="Cambria Math"/>
              </w:rPr>
              <m:t>R</m:t>
            </m:r>
          </m:e>
          <m:sub>
            <m:r>
              <w:rPr>
                <w:rFonts w:ascii="Cambria Math" w:hAnsi="Cambria Math"/>
              </w:rPr>
              <m:t>h</m:t>
            </m:r>
          </m:sub>
        </m:sSub>
      </m:oMath>
      <w:r>
        <w:t xml:space="preserve">, and a weighted-sum family. Suppose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lies in an interval of width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on the reference support and on every positive-weight archive record. Let </w:t>
      </w:r>
      <m:oMath>
        <m:r>
          <w:rPr>
            <w:rFonts w:ascii="Cambria Math" w:hAnsi="Cambria Math"/>
          </w:rPr>
          <m:t>m</m:t>
        </m:r>
        <m:d>
          <m:dPr>
            <m:ctrlPr>
              <w:rPr>
                <w:rFonts w:ascii="Cambria Math" w:hAnsi="Cambria Math"/>
              </w:rPr>
            </m:ctrlPr>
          </m:dPr>
          <m:e>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r>
          <w:rPr>
            <w:rFonts w:ascii="Cambria Math" w:hAnsi="Cambria Math"/>
          </w:rPr>
          <m:t>h</m:t>
        </m:r>
      </m:oMath>
      <w:r>
        <w:t xml:space="preserve"> and </w:t>
      </w:r>
      <m:oMath>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λ</m:t>
            </m:r>
          </m:e>
        </m:d>
      </m:oMath>
      <w:r>
        <w:t xml:space="preserve"> be its exact-real archive ratio, with positive total correction and preference-independent corrections. If a finite grid is a </w:t>
      </w:r>
      <m:oMath>
        <m:r>
          <w:rPr>
            <w:rFonts w:ascii="Cambria Math" w:hAnsi="Cambria Math"/>
          </w:rPr>
          <m:t>δ</m:t>
        </m:r>
      </m:oMath>
      <w:r>
        <w:t xml:space="preserve">-net of the simplex in the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1</m:t>
            </m:r>
          </m:sup>
        </m:sSup>
      </m:oMath>
      <w:r>
        <w:t xml:space="preserve"> norm, then</w:t>
      </w:r>
    </w:p>
    <w:p w14:paraId="636862E7" w14:textId="77777777" w:rsidR="00147891" w:rsidRDefault="00000000">
      <w:pPr>
        <w:pStyle w:val="BodyText"/>
        <w:keepLines/>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λ</m:t>
              </m:r>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λ</m:t>
                  </m:r>
                </m:e>
              </m:d>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λ</m:t>
              </m:r>
              <m:r>
                <m:rPr>
                  <m:nor/>
                </m:rPr>
                <m:t xml:space="preserve"> on grid</m:t>
              </m:r>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λ</m:t>
                  </m:r>
                </m:e>
              </m:d>
            </m:e>
          </m:d>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h</m:t>
                  </m:r>
                </m:sub>
              </m:sSub>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R</m:t>
                  </m:r>
                </m:e>
                <m:sub>
                  <m:r>
                    <w:rPr>
                      <w:rFonts w:ascii="Cambria Math" w:hAnsi="Cambria Math"/>
                    </w:rPr>
                    <m:t>j</m:t>
                  </m:r>
                </m:sub>
              </m:sSub>
            </m:num>
            <m:den>
              <m:r>
                <w:rPr>
                  <w:rFonts w:ascii="Cambria Math" w:hAnsi="Cambria Math"/>
                </w:rPr>
                <m:t>2</m:t>
              </m:r>
            </m:den>
          </m:f>
          <m:r>
            <w:rPr>
              <w:rFonts w:ascii="Cambria Math" w:hAnsi="Cambria Math"/>
            </w:rPr>
            <m:t>δ</m:t>
          </m:r>
          <m:r>
            <m:rPr>
              <m:sty m:val="p"/>
            </m:rPr>
            <w:rPr>
              <w:rFonts w:ascii="Cambria Math" w:hAnsi="Cambria Math"/>
            </w:rPr>
            <m:t>.</m:t>
          </m:r>
          <m:r>
            <m:rPr>
              <m:nor/>
            </m:rPr>
            <m:t xml:space="preserve">    (19)</m:t>
          </m:r>
        </m:oMath>
      </m:oMathPara>
    </w:p>
    <w:p w14:paraId="36A73220" w14:textId="77777777" w:rsidR="00147891" w:rsidRDefault="00000000">
      <w:pPr>
        <w:pStyle w:val="FirstParagraph"/>
      </w:pPr>
      <w:r>
        <w:rPr>
          <w:i/>
          <w:iCs/>
        </w:rPr>
        <w:t>Proof.</w:t>
      </w:r>
      <w:r>
        <w:t xml:space="preserve"> Along a preference segment with direction </w:t>
      </w:r>
      <m:oMath>
        <m:r>
          <w:rPr>
            <w:rFonts w:ascii="Cambria Math" w:hAnsi="Cambria Math"/>
          </w:rPr>
          <m:t>v</m:t>
        </m:r>
      </m:oMath>
      <w:r>
        <w:t xml:space="preserve">, differentiating a normalized exponential tilt gives </w:t>
      </w:r>
      <m:oMath>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m:t>
        </m:r>
        <m:r>
          <m:rPr>
            <m:sty m:val="p"/>
          </m:rPr>
          <w:rPr>
            <w:rFonts w:ascii="Cambria Math" w:hAnsi="Cambria Math"/>
          </w:rPr>
          <m:t>=-</m:t>
        </m:r>
        <m:r>
          <w:rPr>
            <w:rFonts w:ascii="Cambria Math" w:hAnsi="Cambria Math"/>
          </w:rPr>
          <m:t>β</m:t>
        </m:r>
        <m:r>
          <m:rPr>
            <m:sty m:val="p"/>
          </m:rPr>
          <w:rPr>
            <w:rFonts w:ascii="Cambria Math" w:hAnsi="Cambria Math"/>
          </w:rPr>
          <m:t>Cov</m:t>
        </m:r>
        <m:d>
          <m:dPr>
            <m:ctrlPr>
              <w:rPr>
                <w:rFonts w:ascii="Cambria Math" w:hAnsi="Cambria Math"/>
              </w:rPr>
            </m:ctrlPr>
          </m:dPr>
          <m:e>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G</m:t>
            </m:r>
          </m:e>
        </m:d>
      </m:oMath>
      <w:r>
        <w:t xml:space="preserve">. The same identity holds for the finite archive. The range width of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G</m:t>
        </m:r>
      </m:oMath>
      <w:r>
        <w:t xml:space="preserve"> is at most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Cauchy–Schwarz and the bound on variance by one quarter of squared range give </w:t>
      </w:r>
      <m:oMath>
        <m:d>
          <m:dPr>
            <m:begChr m:val="|"/>
            <m:endChr m:val="|"/>
            <m:ctrlPr>
              <w:rPr>
                <w:rFonts w:ascii="Cambria Math" w:hAnsi="Cambria Math"/>
              </w:rPr>
            </m:ctrlPr>
          </m:dPr>
          <m:e>
            <m:r>
              <m:rPr>
                <m:sty m:val="p"/>
              </m:rPr>
              <w:rPr>
                <w:rFonts w:ascii="Cambria Math" w:hAnsi="Cambria Math"/>
              </w:rPr>
              <m:t>Cov</m:t>
            </m:r>
            <m:d>
              <m:dPr>
                <m:ctrlPr>
                  <w:rPr>
                    <w:rFonts w:ascii="Cambria Math" w:hAnsi="Cambria Math"/>
                  </w:rPr>
                </m:ctrlPr>
              </m:dPr>
              <m:e>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G</m:t>
                </m:r>
              </m:e>
            </m:d>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4</m:t>
        </m:r>
      </m:oMath>
      <w:r>
        <w:t>. Integrate along the segment for each mean and add the two Lipschitz bounds. Comparing an arbitrary preference to its nearest grid point proves (19). □</w:t>
      </w:r>
    </w:p>
    <w:p w14:paraId="473AD948" w14:textId="77777777" w:rsidR="00147891" w:rsidRDefault="00000000">
      <w:pPr>
        <w:pStyle w:val="BodyText"/>
      </w:pPr>
      <w:r>
        <w:t>A finite grid is not itself a supremum over the whole simplex. The bound may be loose; tighter objective-difference or local covariance bounds can improve it. An arithmetic certificate also encloses the archive ratio and reference values at grid points. The 101-point V4 diagnostic is retained as a finite-grid diagnostic; its name in the source does not establish a continuum error bound or a confidence statement after selection.</w:t>
      </w:r>
    </w:p>
    <w:p w14:paraId="37AE68F6" w14:textId="77777777" w:rsidR="00D84A52" w:rsidRDefault="00000000">
      <w:pPr>
        <w:pStyle w:val="Heading1"/>
      </w:pPr>
      <w:bookmarkStart w:id="26" w:name="evaluation-economy-with-explicit-laws"/>
      <w:bookmarkEnd w:id="20"/>
      <w:bookmarkEnd w:id="24"/>
      <w:bookmarkEnd w:id="25"/>
      <w:r>
        <w:t>7 Evaluation economy with explicit laws</w:t>
      </w:r>
    </w:p>
    <w:p w14:paraId="38FD7BFC" w14:textId="77777777" w:rsidR="00D84A52" w:rsidRDefault="00000000">
      <w:pPr>
        <w:pStyle w:val="Heading2"/>
      </w:pPr>
      <w:bookmarkStart w:id="27" w:name="scheduled-observations"/>
      <w:r>
        <w:t>7.1 Scheduled observations</w:t>
      </w:r>
    </w:p>
    <w:p w14:paraId="6F8A4B7C" w14:textId="77777777" w:rsidR="00D84A52" w:rsidRDefault="00000000">
      <w:pPr>
        <w:pStyle w:val="FirstParagraph"/>
      </w:pPr>
      <w:r>
        <w:t>EmoDM learns diffusion-based multi-objective search from solved tasks and introduces variable relevance and transfer mechanisms [8]. The ADE design considered here borrows the ideas of selected evaluation stages, relevance-weighted retrieval, and source prompts. These devices do not reproduce EmoDM’s trained model.</w:t>
      </w:r>
    </w:p>
    <w:p w14:paraId="277EC531" w14:textId="77777777" w:rsidR="00D84A52" w:rsidRDefault="00000000">
      <w:pPr>
        <w:pStyle w:val="BodyText"/>
        <w:keepNext/>
      </w:pPr>
      <w:r>
        <w:t xml:space="preserve">For a schedule with </w:t>
      </w:r>
      <m:oMath>
        <m:r>
          <w:rPr>
            <w:rFonts w:ascii="Cambria Math" w:hAnsi="Cambria Math"/>
          </w:rPr>
          <m:t>T</m:t>
        </m:r>
      </m:oMath>
      <w:r>
        <w:t xml:space="preserve"> reverse stages, select intermediate indices </w:t>
      </w:r>
      <m:oMath>
        <m:r>
          <m:rPr>
            <m:scr m:val="script"/>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&lt;</m:t>
            </m:r>
            <m:r>
              <w:rPr>
                <w:rFonts w:ascii="Cambria Math" w:hAnsi="Cambria Math"/>
              </w:rPr>
              <m:t>T</m:t>
            </m:r>
          </m:e>
        </m:d>
      </m:oMath>
      <w:r>
        <w:t xml:space="preserve"> and the output. With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evaluations and </w:t>
      </w:r>
      <m:oMath>
        <m:r>
          <w:rPr>
            <w:rFonts w:ascii="Cambria Math" w:hAnsi="Cambria Math"/>
          </w:rPr>
          <m:t>K</m:t>
        </m:r>
      </m:oMath>
      <w:r>
        <w:t xml:space="preserve"> complete candidates, the evaluation count is exactly</w:t>
      </w:r>
    </w:p>
    <w:p w14:paraId="455FA711" w14:textId="77777777" w:rsidR="00147891" w:rsidRDefault="00000000">
      <w:pPr>
        <w:pStyle w:val="FirstParagraph"/>
        <w:keepLines/>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eval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e>
          </m:d>
          <m:r>
            <m:rPr>
              <m:sty m:val="p"/>
            </m:rPr>
            <w:rPr>
              <w:rFonts w:ascii="Cambria Math" w:hAnsi="Cambria Math"/>
            </w:rPr>
            <m:t>.</m:t>
          </m:r>
          <m:r>
            <m:rPr>
              <m:nor/>
            </m:rPr>
            <m:t xml:space="preserve">    (20)</m:t>
          </m:r>
        </m:oMath>
      </m:oMathPara>
    </w:p>
    <w:p w14:paraId="01990ED9" w14:textId="77777777" w:rsidR="00D84A52" w:rsidRDefault="00000000">
      <w:pPr>
        <w:pStyle w:val="FirstParagraph"/>
      </w:pPr>
      <w:r>
        <w:t xml:space="preserve">At </w:t>
      </w:r>
      <m:oMath>
        <m:r>
          <w:rPr>
            <w:rFonts w:ascii="Cambria Math" w:hAnsi="Cambria Math"/>
          </w:rPr>
          <m:t>T</m:t>
        </m:r>
        <m:r>
          <m:rPr>
            <m:sty m:val="p"/>
          </m:rPr>
          <w:rPr>
            <w:rFonts w:ascii="Cambria Math" w:hAnsi="Cambria Math"/>
          </w:rPr>
          <m:t>=</m:t>
        </m:r>
        <m:r>
          <w:rPr>
            <w:rFonts w:ascii="Cambria Math" w:hAnsi="Cambria Math"/>
          </w:rPr>
          <m:t>16</m:t>
        </m:r>
      </m:oMath>
      <w:r>
        <w:t xml:space="preserve">, the intermediate indices are 1, 2, 4, and 8, giving five evaluations per candidate. With a cosine schedule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2</m:t>
        </m:r>
      </m:oMath>
      <w:r>
        <w:t xml:space="preserve">, the noise standard deviation is </w:t>
      </w:r>
      <m:oMath>
        <m:r>
          <m:rPr>
            <m:sty m:val="p"/>
          </m:rPr>
          <w:rPr>
            <w:rFonts w:ascii="Cambria Math" w:hAnsi="Cambria Math"/>
          </w:rPr>
          <m:t>sin</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2T</m:t>
            </m:r>
          </m:e>
        </m:d>
      </m:oMath>
      <w:r>
        <w:t xml:space="preserve">; it is approximately geometric at dyadic indices when </w:t>
      </w:r>
      <m:oMath>
        <m:r>
          <w:rPr>
            <w:rFonts w:ascii="Cambria Math" w:hAnsi="Cambria Math"/>
          </w:rPr>
          <m:t>t</m:t>
        </m:r>
        <m:r>
          <m:rPr>
            <m:sty m:val="p"/>
          </m:rPr>
          <w:rPr>
            <w:rFonts w:ascii="Cambria Math" w:hAnsi="Cambria Math"/>
          </w:rPr>
          <m:t>/</m:t>
        </m:r>
        <m:r>
          <w:rPr>
            <w:rFonts w:ascii="Cambria Math" w:hAnsi="Cambria Math"/>
          </w:rPr>
          <m:t>T</m:t>
        </m:r>
      </m:oMath>
      <w:r>
        <w:t xml:space="preserve"> is small. This motivates the spacing but proves no optimality. Exact endpoints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are degenerate observation limits; software clipping creates an approximate schedule that must be recorded.</w:t>
      </w:r>
    </w:p>
    <w:p w14:paraId="67DB3BE0" w14:textId="77777777" w:rsidR="00D84A52" w:rsidRDefault="00000000">
      <w:pPr>
        <w:pStyle w:val="BodyText"/>
      </w:pPr>
      <w:r>
        <w:t>Deterministically omitting stages gives zero inclusion probabilities there and does not satisfy the all-attempt observation floor in (18). A valid alternative is to enumerate only eligible, newly sampled evaluation states and apply (18) to that sequence. The conditioning history includes every unevaluated intermediate state used to generate the next eligible one. Each eligible state’s recorded law must be the actual one-step law that produced it, with its required defensive domination. Fully observed eligible states then have inclusion probability one. Reusing a previous output as a new trajectory’s initial state is not a fresh sampling event.</w:t>
      </w:r>
    </w:p>
    <w:p w14:paraId="6094DE2F" w14:textId="77777777" w:rsidR="00D84A52" w:rsidRDefault="00000000">
      <w:pPr>
        <w:pStyle w:val="BodyText"/>
      </w:pPr>
      <w:r>
        <w:t>If instead every stage is an eligible attempt and a promising-state filter chooses which responses to obtain, retain its positive randomized inclusion probability. Adaptive skipping without overlap requires a different target or an additional correction argument. Schedules can be compared at equal solver-evaluation budgets, but proposal computation, elapsed time, caching, and source training costs should also be reported.</w:t>
      </w:r>
    </w:p>
    <w:p w14:paraId="4A1CA643" w14:textId="77777777" w:rsidR="00D84A52" w:rsidRDefault="00000000">
      <w:pPr>
        <w:pStyle w:val="Heading2"/>
      </w:pPr>
      <w:bookmarkStart w:id="28" w:name="variable-relevance"/>
      <w:bookmarkEnd w:id="27"/>
      <w:r>
        <w:lastRenderedPageBreak/>
        <w:t>7.2 Variable relevance</w:t>
      </w:r>
    </w:p>
    <w:p w14:paraId="4823357A" w14:textId="77777777" w:rsidR="00D84A52" w:rsidRDefault="00000000">
      <w:pPr>
        <w:pStyle w:val="FirstParagraph"/>
      </w:pPr>
      <w:r>
        <w:t>Mutual-information estimates can set the coordinate weights in (12). Population mutual information is invariant under invertible changes of either variable, whereas an eight-bin histogram estimator with data-dependent bins need not preserve that invariance. Association in an adaptively selected archive is not an intervention-based sensitivity measure. Inactive dimensions can acquire positive estimated relevance from finite data or selection effects.</w:t>
      </w:r>
    </w:p>
    <w:p w14:paraId="09C75AB2" w14:textId="77777777" w:rsidR="00D84A52" w:rsidRDefault="00000000">
      <w:pPr>
        <w:pStyle w:val="BodyText"/>
      </w:pPr>
      <w:r>
        <w:t>Keep positive lower and upper bounds on all metric eigenvalues so that the kernel remains a nondegenerate Gaussian and its numerical conditioning is controlled. Re-estimating the metric from past data is a predictable retrieval choice. If it also changes the proposal, the actual changed proposal law must be recorded. A sparse approximation that sets weights exactly to zero ceases to define a full-dimensional Gaussian density of the stated form.</w:t>
      </w:r>
    </w:p>
    <w:p w14:paraId="3FEF1C2E" w14:textId="77777777" w:rsidR="00D84A52" w:rsidRDefault="00000000">
      <w:pPr>
        <w:pStyle w:val="Heading2"/>
      </w:pPr>
      <w:bookmarkStart w:id="29" w:name="a-precise-warm-start-coverage-bound"/>
      <w:bookmarkEnd w:id="28"/>
      <w:r>
        <w:t>7.3 A precise warm-start coverage bound</w:t>
      </w:r>
    </w:p>
    <w:p w14:paraId="5318EF6B" w14:textId="77777777" w:rsidR="00D84A52" w:rsidRDefault="00000000">
      <w:pPr>
        <w:pStyle w:val="FirstParagraph"/>
        <w:keepNext/>
        <w:keepLines/>
      </w:pPr>
      <w:r>
        <w:rPr>
          <w:b/>
          <w:bCs/>
        </w:rPr>
        <w:t>Proposition 7.1 — Coverage of a target front.</w:t>
      </w:r>
      <w:r>
        <w:t xml:space="preserve"> Let </w:t>
      </w:r>
      <m:oMath>
        <m:r>
          <w:rPr>
            <w:rFonts w:ascii="Cambria Math" w:hAnsi="Cambria Math"/>
          </w:rPr>
          <m:t>P</m:t>
        </m:r>
      </m:oMath>
      <w:r>
        <w:t xml:space="preserve"> be a set of target Pareto designs, and let a transferred prompt </w:t>
      </w:r>
      <m:oMath>
        <m:r>
          <w:rPr>
            <w:rFonts w:ascii="Cambria Math" w:hAnsi="Cambria Math"/>
          </w:rPr>
          <m:t>Q</m:t>
        </m:r>
        <m:r>
          <m:rPr>
            <m:scr m:val="script"/>
            <m:sty m:val="p"/>
          </m:rPr>
          <w:rPr>
            <w:rFonts w:ascii="Cambria Math" w:hAnsi="Cambria Math"/>
          </w:rPr>
          <m:t>⊂C</m:t>
        </m:r>
      </m:oMath>
      <w:r>
        <w:t xml:space="preserve"> be evaluated under the target objectives. Suppose every </w:t>
      </w:r>
      <m:oMath>
        <m:r>
          <w:rPr>
            <w:rFonts w:ascii="Cambria Math" w:hAnsi="Cambria Math"/>
          </w:rPr>
          <m:t>x</m:t>
        </m:r>
        <m:r>
          <m:rPr>
            <m:sty m:val="p"/>
          </m:rPr>
          <w:rPr>
            <w:rFonts w:ascii="Cambria Math" w:hAnsi="Cambria Math"/>
          </w:rPr>
          <m:t>∈</m:t>
        </m:r>
        <m:r>
          <w:rPr>
            <w:rFonts w:ascii="Cambria Math" w:hAnsi="Cambria Math"/>
          </w:rPr>
          <m:t>P</m:t>
        </m:r>
      </m:oMath>
      <w:r>
        <w:t xml:space="preserve"> has some </w:t>
      </w:r>
      <m:oMath>
        <m:r>
          <w:rPr>
            <w:rFonts w:ascii="Cambria Math" w:hAnsi="Cambria Math"/>
          </w:rPr>
          <m:t>q</m:t>
        </m:r>
        <m:r>
          <m:rPr>
            <m:sty m:val="p"/>
          </m:rPr>
          <w:rPr>
            <w:rFonts w:ascii="Cambria Math" w:hAnsi="Cambria Math"/>
          </w:rPr>
          <m:t>∈</m:t>
        </m:r>
        <m:r>
          <w:rPr>
            <w:rFonts w:ascii="Cambria Math" w:hAnsi="Cambria Math"/>
          </w:rPr>
          <m:t>Q</m:t>
        </m:r>
      </m:oMath>
      <w:r>
        <w:t xml:space="preserve"> with design distance at most </w:t>
      </w:r>
      <m:oMath>
        <m:r>
          <w:rPr>
            <w:rFonts w:ascii="Cambria Math" w:hAnsi="Cambria Math"/>
          </w:rPr>
          <m:t>r</m:t>
        </m:r>
      </m:oMath>
      <w:r>
        <w:t xml:space="preserve">. Assume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oMath>
      <w:r>
        <w:t xml:space="preserve"> for these pairs. Then, for any probability measure </w:t>
      </w:r>
      <m:oMath>
        <m:r>
          <w:rPr>
            <w:rFonts w:ascii="Cambria Math" w:hAnsi="Cambria Math"/>
          </w:rPr>
          <m:t>ξ</m:t>
        </m:r>
      </m:oMath>
      <w:r>
        <w:t xml:space="preserve"> on the objective front generated by </w:t>
      </w:r>
      <m:oMath>
        <m:r>
          <w:rPr>
            <w:rFonts w:ascii="Cambria Math" w:hAnsi="Cambria Math"/>
          </w:rPr>
          <m:t>P</m:t>
        </m:r>
      </m:oMath>
      <w:r>
        <w:t>,</w:t>
      </w:r>
    </w:p>
    <w:p w14:paraId="7EA5CC7C" w14:textId="77777777" w:rsidR="00D84A52" w:rsidRDefault="00000000">
      <w:pPr>
        <w:pStyle w:val="BodyText"/>
        <w:keepLines/>
        <w:spacing w:before="60" w:after="120"/>
        <w:jc w:val="center"/>
      </w:pPr>
      <m:oMathPara>
        <m:oMathParaPr>
          <m:jc m:val="center"/>
        </m:oMathParaPr>
        <m:oMath>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q</m:t>
              </m:r>
              <m:r>
                <m:rPr>
                  <m:sty m:val="p"/>
                </m:rPr>
                <w:rPr>
                  <w:rFonts w:ascii="Cambria Math" w:hAnsi="Cambria Math"/>
                </w:rPr>
                <m:t>∈</m:t>
              </m:r>
              <m:r>
                <w:rPr>
                  <w:rFonts w:ascii="Cambria Math" w:hAnsi="Cambria Math"/>
                </w:rPr>
                <m:t>Q</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v</m:t>
                  </m:r>
                </m:e>
              </m:d>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m:t>    </m:t>
          </m:r>
          <m:r>
            <w:rPr>
              <w:rFonts w:ascii="Cambria Math" w:hAnsi="Cambria Math"/>
            </w:rPr>
            <m:t>ξ</m:t>
          </m:r>
          <m:d>
            <m:dPr>
              <m:ctrlPr>
                <w:rPr>
                  <w:rFonts w:ascii="Cambria Math" w:hAnsi="Cambria Math"/>
                </w:rPr>
              </m:ctrlPr>
            </m:dPr>
            <m:e>
              <m:r>
                <w:rPr>
                  <w:rFonts w:ascii="Cambria Math" w:hAnsi="Cambria Math"/>
                </w:rPr>
                <m:t>dv</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r>
            <m:rPr>
              <m:sty m:val="p"/>
            </m:rPr>
            <w:rPr>
              <w:rFonts w:ascii="Cambria Math" w:hAnsi="Cambria Math"/>
            </w:rPr>
            <m:t>.</m:t>
          </m:r>
          <m:r>
            <m:rPr>
              <m:nor/>
            </m:rPr>
            <m:t xml:space="preserve">    (21)</m:t>
          </m:r>
        </m:oMath>
      </m:oMathPara>
    </w:p>
    <w:p w14:paraId="39A2B17A" w14:textId="77777777" w:rsidR="00D84A52" w:rsidRDefault="00000000">
      <w:pPr>
        <w:pStyle w:val="FirstParagraph"/>
      </w:pPr>
      <w:r>
        <w:rPr>
          <w:b/>
          <w:bCs/>
        </w:rPr>
        <w:t>Proof.</w:t>
      </w:r>
      <w:r>
        <w:t xml:space="preserve"> For </w:t>
      </w:r>
      <m:oMath>
        <m:r>
          <w:rPr>
            <w:rFonts w:ascii="Cambria Math" w:hAnsi="Cambria Math"/>
          </w:rPr>
          <m:t>v</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choose the corresponding </w:t>
      </w:r>
      <m:oMath>
        <m:r>
          <w:rPr>
            <w:rFonts w:ascii="Cambria Math" w:hAnsi="Cambria Math"/>
          </w:rPr>
          <m:t>q</m:t>
        </m:r>
      </m:oMath>
      <w:r>
        <w:t xml:space="preserve">. The positive-part norm is no larger than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so the pointwise distance and its integral are bounded by </w:t>
      </w:r>
      <m:oMath>
        <m:r>
          <w:rPr>
            <w:rFonts w:ascii="Cambria Math" w:hAnsi="Cambria Math"/>
          </w:rPr>
          <m:t>ω</m:t>
        </m:r>
        <m:d>
          <m:dPr>
            <m:ctrlPr>
              <w:rPr>
                <w:rFonts w:ascii="Cambria Math" w:hAnsi="Cambria Math"/>
              </w:rPr>
            </m:ctrlPr>
          </m:dPr>
          <m:e>
            <m:r>
              <w:rPr>
                <w:rFonts w:ascii="Cambria Math" w:hAnsi="Cambria Math"/>
              </w:rPr>
              <m:t>r</m:t>
            </m:r>
          </m:e>
        </m:d>
      </m:oMath>
      <w:r>
        <w:t xml:space="preserve">. </w:t>
      </w:r>
      <m:oMath>
        <m:r>
          <m:rPr>
            <m:sty m:val="p"/>
          </m:rPr>
          <w:rPr>
            <w:rFonts w:ascii="Cambria Math" w:hAnsi="Cambria Math"/>
          </w:rPr>
          <m:t>▫</m:t>
        </m:r>
      </m:oMath>
    </w:p>
    <w:p w14:paraId="317F55AF" w14:textId="77777777" w:rsidR="00D84A52" w:rsidRDefault="00000000">
      <w:pPr>
        <w:pStyle w:val="BodyText"/>
      </w:pPr>
      <w:r>
        <w:t>The modulus must use the declared objective-space norm and units. Shared labels or similar source objective values do not establish design-space coverage of the target front. Charge target re-evaluations and report source acquisition cost separately. Coverage of a finite prompt and validity of its importance weights remain different requirements.</w:t>
      </w:r>
    </w:p>
    <w:p w14:paraId="7D06F589" w14:textId="77777777" w:rsidR="00D84A52" w:rsidRDefault="00000000">
      <w:pPr>
        <w:pStyle w:val="Heading1"/>
      </w:pPr>
      <w:bookmarkStart w:id="30" w:name="metrics-and-computational-cost"/>
      <w:bookmarkEnd w:id="26"/>
      <w:bookmarkEnd w:id="29"/>
      <w:r>
        <w:t>8 Metrics and computational cost</w:t>
      </w:r>
    </w:p>
    <w:p w14:paraId="0F06763E" w14:textId="77777777" w:rsidR="00D84A52" w:rsidRDefault="00000000">
      <w:pPr>
        <w:pStyle w:val="Heading2"/>
      </w:pPr>
      <w:bookmarkStart w:id="31" w:name="what-improves-monotonically"/>
      <w:r>
        <w:t>8.1 What improves monotonically</w:t>
      </w:r>
    </w:p>
    <w:p w14:paraId="05F2EA8A" w14:textId="77777777" w:rsidR="00D84A52" w:rsidRDefault="00000000">
      <w:pPr>
        <w:pStyle w:val="FirstParagraph"/>
        <w:keepNext/>
      </w:pPr>
      <w:r>
        <w:t xml:space="preserve">For a nonempty finite objective archive </w:t>
      </w:r>
      <m:oMath>
        <m:r>
          <w:rPr>
            <w:rFonts w:ascii="Cambria Math" w:hAnsi="Cambria Math"/>
          </w:rPr>
          <m:t>B</m:t>
        </m:r>
      </m:oMath>
      <w:r>
        <w:t xml:space="preserve"> and fixed reference front measure </w:t>
      </w:r>
      <m:oMath>
        <m:r>
          <w:rPr>
            <w:rFonts w:ascii="Cambria Math" w:hAnsi="Cambria Math"/>
          </w:rPr>
          <m:t>ξ</m:t>
        </m:r>
      </m:oMath>
      <w:r>
        <w:t>, define</w:t>
      </w:r>
    </w:p>
    <w:p w14:paraId="531C6495" w14:textId="77777777" w:rsidR="00D84A52" w:rsidRDefault="00000000">
      <w:pPr>
        <w:pStyle w:val="BodyText"/>
        <w:keepLines/>
        <w:spacing w:before="60" w:after="120"/>
        <w:jc w:val="cente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b</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nor/>
            </m:rPr>
            <m:t>    </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m:rPr>
              <m:nor/>
            </m:rPr>
            <m:t>    </m:t>
          </m:r>
          <m:r>
            <w:rPr>
              <w:rFonts w:ascii="Cambria Math" w:hAnsi="Cambria Math"/>
            </w:rPr>
            <m:t>ξ</m:t>
          </m:r>
          <m:d>
            <m:dPr>
              <m:ctrlPr>
                <w:rPr>
                  <w:rFonts w:ascii="Cambria Math" w:hAnsi="Cambria Math"/>
                </w:rPr>
              </m:ctrlPr>
            </m:dPr>
            <m:e>
              <m:r>
                <w:rPr>
                  <w:rFonts w:ascii="Cambria Math" w:hAnsi="Cambria Math"/>
                </w:rPr>
                <m:t>dv</m:t>
              </m:r>
            </m:e>
          </m:d>
          <m:r>
            <m:rPr>
              <m:sty m:val="p"/>
            </m:rPr>
            <w:rPr>
              <w:rFonts w:ascii="Cambria Math" w:hAnsi="Cambria Math"/>
            </w:rPr>
            <m:t>.</m:t>
          </m:r>
          <m:r>
            <m:rPr>
              <m:nor/>
            </m:rPr>
            <m:t xml:space="preserve">    (22)</m:t>
          </m:r>
        </m:oMath>
      </m:oMathPara>
    </w:p>
    <w:p w14:paraId="034B87AB" w14:textId="77777777" w:rsidR="00D84A52" w:rsidRDefault="00000000">
      <w:pPr>
        <w:pStyle w:val="FirstParagraph"/>
      </w:pPr>
      <w:r>
        <w:t>Finite reference sets use their declared weights, often uniform. The definition follows the modified distance of Ishibuchi and colleagues [9]. Its direction is important: positive components are those in which the archive point is worse than the reference point for minimization.</w:t>
      </w:r>
    </w:p>
    <w:p w14:paraId="03A04EF1" w14:textId="77777777" w:rsidR="00D84A52" w:rsidRDefault="00000000">
      <w:pPr>
        <w:pStyle w:val="BodyText"/>
        <w:keepLines/>
      </w:pPr>
      <w:r>
        <w:rPr>
          <w:b/>
          <w:bCs/>
        </w:rPr>
        <w:t>Theorem 8.1 — Archive monotonicity and safe pruning.</w:t>
      </w:r>
      <w:r>
        <w:t xml:space="preserve"> If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e>
        </m:d>
      </m:oMath>
      <w:r>
        <w:t>. Replacing a finite archive by its nondominated subset leaves IGD+ unchanged.</w:t>
      </w:r>
    </w:p>
    <w:p w14:paraId="38012049" w14:textId="77777777" w:rsidR="00D84A52" w:rsidRDefault="00000000">
      <w:pPr>
        <w:pStyle w:val="BodyText"/>
      </w:pPr>
      <w:r>
        <w:rPr>
          <w:b/>
          <w:bCs/>
        </w:rPr>
        <w:t>Proof.</w:t>
      </w:r>
      <w:r>
        <w:t xml:space="preserve"> Enlarging the set can only decrease each minimum. If </w:t>
      </w:r>
      <m:oMath>
        <m:r>
          <w:rPr>
            <w:rFonts w:ascii="Cambria Math" w:hAnsi="Cambria Math"/>
          </w:rPr>
          <m:t>b</m:t>
        </m:r>
        <m:r>
          <m:rPr>
            <m:sty m:val="p"/>
          </m:rPr>
          <w:rPr>
            <w:rFonts w:ascii="Cambria Math" w:hAnsi="Cambria Math"/>
          </w:rPr>
          <m:t>'≺</m:t>
        </m:r>
        <m:r>
          <w:rPr>
            <w:rFonts w:ascii="Cambria Math" w:hAnsi="Cambria Math"/>
          </w:rPr>
          <m:t>b</m:t>
        </m:r>
      </m:oMath>
      <w:r>
        <w:t xml:space="preserve">, then </w:t>
      </w:r>
      <m:oMath>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oMath>
      <w:r>
        <w:t xml:space="preserve"> coordinatewise and its norm is no larger. Every dominated point in a finite set has a nondominated point no worse than it, so pruning preserves all minima. </w:t>
      </w:r>
      <m:oMath>
        <m:r>
          <m:rPr>
            <m:sty m:val="p"/>
          </m:rPr>
          <w:rPr>
            <w:rFonts w:ascii="Cambria Math" w:hAnsi="Cambria Math"/>
          </w:rPr>
          <m:t>▫</m:t>
        </m:r>
      </m:oMath>
    </w:p>
    <w:p w14:paraId="1E406BDA" w14:textId="77777777" w:rsidR="00D84A52" w:rsidRDefault="00000000">
      <w:pPr>
        <w:pStyle w:val="BodyText"/>
      </w:pPr>
      <w:r>
        <w:t xml:space="preserve">Ordinary IGD computed on the full growing archive is also nonincreasing. Ordinary IGD computed after nondominated pruning can increase because an improving point can remove another point that was Euclidean-close to a reference vector. With 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 archive containing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oMath>
      <w:r>
        <w:t xml:space="preserve"> has IGD 0.1. Add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1.05</m:t>
            </m:r>
          </m:e>
        </m:d>
      </m:oMath>
      <w:r>
        <w:t xml:space="preserve">, which dominates the old point. The pruned IGD becomes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e>
        </m:rad>
        <m:r>
          <m:rPr>
            <m:sty m:val="p"/>
          </m:rPr>
          <w:rPr>
            <w:rFonts w:ascii="Cambria Math" w:hAnsi="Cambria Math"/>
          </w:rPr>
          <m:t>≈</m:t>
        </m:r>
        <m:r>
          <w:rPr>
            <w:rFonts w:ascii="Cambria Math" w:hAnsi="Cambria Math"/>
          </w:rPr>
          <m:t>1.001249</m:t>
        </m:r>
      </m:oMath>
      <w:r>
        <w:t>, while IGD+ improves from 0.1 to 0.05.</w:t>
      </w:r>
    </w:p>
    <w:p w14:paraId="28763E7F" w14:textId="77777777" w:rsidR="00D84A52" w:rsidRDefault="00000000">
      <w:pPr>
        <w:pStyle w:val="BodyText"/>
      </w:pPr>
      <w:r>
        <w:lastRenderedPageBreak/>
        <w:t>Hypervolume with a fixed reference point is nondecreasing for a growing archive and is unchanged by removing dominated points. It remains sensitive to units and the chosen reference. Neither a monotonically improving metric nor a Pareto archive proves engineering feasibility, coverage of an unknown true front, or reliable target expectation estimates. Changing the reference set or scales during monitoring breaks the stated monotonic comparison.</w:t>
      </w:r>
    </w:p>
    <w:p w14:paraId="5B485FBB" w14:textId="77777777" w:rsidR="00D84A52" w:rsidRDefault="00000000">
      <w:pPr>
        <w:pStyle w:val="Heading2"/>
      </w:pPr>
      <w:bookmarkStart w:id="32" w:name="arithmetic-and-memory"/>
      <w:bookmarkEnd w:id="31"/>
      <w:r>
        <w:t>8.2 Arithmetic and memory</w:t>
      </w:r>
    </w:p>
    <w:p w14:paraId="028D81B9" w14:textId="77777777" w:rsidR="00D84A52" w:rsidRDefault="00000000">
      <w:pPr>
        <w:pStyle w:val="FirstParagraph"/>
      </w:pPr>
      <w:r>
        <w:t xml:space="preserve">A packed payload with </w:t>
      </w:r>
      <m:oMath>
        <m:r>
          <w:rPr>
            <w:rFonts w:ascii="Cambria Math" w:hAnsi="Cambria Math"/>
          </w:rPr>
          <m:t>D</m:t>
        </m:r>
      </m:oMath>
      <w:r>
        <w:t xml:space="preserve"> binary64 state entries, </w:t>
      </w:r>
      <m:oMath>
        <m:r>
          <w:rPr>
            <w:rFonts w:ascii="Cambria Math" w:hAnsi="Cambria Math"/>
          </w:rPr>
          <m:t>m</m:t>
        </m:r>
      </m:oMath>
      <w:r>
        <w:t xml:space="preserve"> binary64 responses, a binary64 log sampling derivative, a binary64 inclusion probability, and an </w:t>
      </w:r>
      <m:oMath>
        <m:r>
          <w:rPr>
            <w:rFonts w:ascii="Cambria Math" w:hAnsi="Cambria Math"/>
          </w:rPr>
          <m:t>m</m:t>
        </m:r>
      </m:oMath>
      <w:r>
        <w:t xml:space="preserve">-bit availability mask uses </w:t>
      </w:r>
      <m:oMath>
        <m:r>
          <w:rPr>
            <w:rFonts w:ascii="Cambria Math" w:hAnsi="Cambria Math"/>
          </w:rPr>
          <m:t>8</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bytes per record. This is a lower-level payload count, excluding identifiers, law tags, versions, alignment, indexing, and language-runtime overhead. It is 113 bytes for </w:t>
      </w:r>
      <m:oMath>
        <m:r>
          <w:rPr>
            <w:rFonts w:ascii="Cambria Math" w:hAnsi="Cambria Math"/>
          </w:rPr>
          <m:t>D</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 xml:space="preserve">, or 135,600 bytes for 1,200 records. At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it is approximately 805.7 MB in decimal units before overhead.</w:t>
      </w:r>
    </w:p>
    <w:p w14:paraId="09B64232" w14:textId="77777777" w:rsidR="00D84A52" w:rsidRDefault="00000000">
      <w:pPr>
        <w:pStyle w:val="BodyText"/>
      </w:pPr>
      <w:r>
        <w:t xml:space="preserve">Dense state retrieval costs order </w:t>
      </w:r>
      <m:oMath>
        <m:r>
          <w:rPr>
            <w:rFonts w:ascii="Cambria Math" w:hAnsi="Cambria Math"/>
          </w:rPr>
          <m:t>TND</m:t>
        </m:r>
      </m:oMath>
      <w:r>
        <w:t xml:space="preserve"> multiply-adds per head per candidate, or order </w:t>
      </w:r>
      <m:oMath>
        <m:r>
          <w:rPr>
            <w:rFonts w:ascii="Cambria Math" w:hAnsi="Cambria Math"/>
          </w:rPr>
          <m:t>HTND</m:t>
        </m:r>
      </m:oMath>
      <w:r>
        <w:t xml:space="preserve"> for </w:t>
      </w:r>
      <m:oMath>
        <m:r>
          <w:rPr>
            <w:rFonts w:ascii="Cambria Math" w:hAnsi="Cambria Math"/>
          </w:rPr>
          <m:t>H</m:t>
        </m:r>
      </m:oMath>
      <w:r>
        <w:t xml:space="preserve"> separately evaluated heads. Some geometric computations can be shared. A pairwise dominance graph supports sorting in order </w:t>
      </w:r>
      <m:oMath>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time and up to order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storage; repeated rescanning to peel fronts can have cubic worst-case time. Incremental maintenance may help, but does not guarantee a small update in every configuration. At many objectives a large fraction of points may be mutually nondominated, so rank alone supplies little discrimination. Diversity, feasibility, and preference-conditioned retrieval then need explicit treatment.</w:t>
      </w:r>
    </w:p>
    <w:p w14:paraId="30161D2F" w14:textId="77777777" w:rsidR="00D84A52" w:rsidRDefault="00000000">
      <w:pPr>
        <w:pStyle w:val="Heading1"/>
      </w:pPr>
      <w:bookmarkStart w:id="33" w:name="X30231ffbd864670d7269c603222e4d4152ccbe0"/>
      <w:bookmarkEnd w:id="30"/>
      <w:bookmarkEnd w:id="32"/>
      <w:r>
        <w:t>9 Numerical checks and earlier benchmark summaries</w:t>
      </w:r>
    </w:p>
    <w:p w14:paraId="5B6A5434" w14:textId="77777777" w:rsidR="00D84A52" w:rsidRDefault="00000000">
      <w:pPr>
        <w:pStyle w:val="Heading2"/>
      </w:pPr>
      <w:bookmarkStart w:id="34" w:name="exact-fusion-checks"/>
      <w:r>
        <w:t>9.1 Exact fusion checks</w:t>
      </w:r>
    </w:p>
    <w:p w14:paraId="192D2C11" w14:textId="77777777" w:rsidR="00D84A52" w:rsidRDefault="00000000">
      <w:pPr>
        <w:pStyle w:val="FirstParagraph"/>
      </w:pPr>
      <w:r>
        <w:t>V4 reports checks using Python 3.12.14, NumPy 2.3.5, SciPy 1.17.0, and the default NumPy generator with seed 20261017. They exercised the kernel in Appendix B and independent analytic or quadrature comparisons. They do not rerun the earlier full ADE optimizer. Sections 9.4–9.6 retain the V4 interval and symbolic records under the qualifications in Section 9.8.</w:t>
      </w:r>
    </w:p>
    <w:p w14:paraId="750049CF" w14:textId="77777777" w:rsidR="00D84A52" w:rsidRDefault="00000000">
      <w:pPr>
        <w:pStyle w:val="BodyText"/>
      </w:pPr>
      <w:r>
        <w:t xml:space="preserve">For (10), take equally weighted component targets </w:t>
      </w:r>
      <m:oMath>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0.05</m:t>
            </m:r>
          </m:e>
        </m:d>
      </m:oMath>
      <w:r>
        <w:t xml:space="preserve"> and </w:t>
      </w:r>
      <m:oMath>
        <m: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m:t>
            </m:r>
          </m:e>
        </m:d>
      </m:oMath>
      <w:r>
        <w:t xml:space="preserve">, Gaussian observation parameter </w:t>
      </w:r>
      <m:oMath>
        <m:r>
          <w:rPr>
            <w:rFonts w:ascii="Cambria Math" w:hAnsi="Cambria Math"/>
          </w:rPr>
          <m:t>a</m:t>
        </m:r>
        <m:r>
          <m:rPr>
            <m:sty m:val="p"/>
          </m:rPr>
          <w:rPr>
            <w:rFonts w:ascii="Cambria Math" w:hAnsi="Cambria Math"/>
          </w:rPr>
          <m:t>=</m:t>
        </m:r>
        <m:r>
          <w:rPr>
            <w:rFonts w:ascii="Cambria Math" w:hAnsi="Cambria Math"/>
          </w:rPr>
          <m:t>0.5</m:t>
        </m:r>
      </m:oMath>
      <w:r>
        <w:t xml:space="preserve">, and query </w:t>
      </w:r>
      <m:oMath>
        <m:r>
          <w:rPr>
            <w:rFonts w:ascii="Cambria Math" w:hAnsi="Cambria Math"/>
          </w:rPr>
          <m:t>q</m:t>
        </m:r>
        <m:r>
          <m:rPr>
            <m:sty m:val="p"/>
          </m:rPr>
          <w:rPr>
            <w:rFonts w:ascii="Cambria Math" w:hAnsi="Cambria Math"/>
          </w:rPr>
          <m:t>=</m:t>
        </m:r>
        <m:r>
          <w:rPr>
            <w:rFonts w:ascii="Cambria Math" w:hAnsi="Cambria Math"/>
          </w:rPr>
          <m:t>0.4</m:t>
        </m:r>
      </m:oMath>
      <w:r>
        <w:t xml:space="preserve">. The component evidence is </w:t>
      </w:r>
      <m:oMath>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and its conditional mean is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Direct quadrature on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independently integrates the mixture numerator and denominator.</w:t>
      </w:r>
    </w:p>
    <w:p w14:paraId="271C8EE6" w14:textId="77777777" w:rsidR="00D84A52" w:rsidRDefault="00000000">
      <w:pPr>
        <w:pStyle w:val="Caption"/>
        <w:keepNext/>
      </w:pPr>
      <w:r>
        <w:t>Table 2. V4 numerical checks of the mathematical statements.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376"/>
        <w:gridCol w:w="4176"/>
        <w:gridCol w:w="3384"/>
      </w:tblGrid>
      <w:tr w:rsidR="00D84A52" w14:paraId="43AF8821" w14:textId="77777777">
        <w:trPr>
          <w:cantSplit/>
          <w:tblHeader/>
          <w:jc w:val="center"/>
        </w:trPr>
        <w:tc>
          <w:tcPr>
            <w:tcW w:w="2376" w:type="dxa"/>
            <w:shd w:val="clear" w:color="auto" w:fill="E8E8E8"/>
            <w:tcMar>
              <w:top w:w="80" w:type="dxa"/>
              <w:left w:w="85" w:type="dxa"/>
              <w:bottom w:w="80" w:type="dxa"/>
              <w:right w:w="85" w:type="dxa"/>
            </w:tcMar>
            <w:vAlign w:val="center"/>
          </w:tcPr>
          <w:p w14:paraId="0DA2DB69" w14:textId="77777777" w:rsidR="00D84A52" w:rsidRDefault="00000000">
            <w:pPr>
              <w:keepNext/>
              <w:keepLines/>
              <w:spacing w:after="20" w:line="240" w:lineRule="auto"/>
              <w:jc w:val="left"/>
            </w:pPr>
            <w:r>
              <w:rPr>
                <w:b/>
                <w:sz w:val="20"/>
              </w:rPr>
              <w:t>Check</w:t>
            </w:r>
          </w:p>
        </w:tc>
        <w:tc>
          <w:tcPr>
            <w:tcW w:w="4176" w:type="dxa"/>
            <w:shd w:val="clear" w:color="auto" w:fill="E8E8E8"/>
            <w:tcMar>
              <w:top w:w="80" w:type="dxa"/>
              <w:left w:w="85" w:type="dxa"/>
              <w:bottom w:w="80" w:type="dxa"/>
              <w:right w:w="85" w:type="dxa"/>
            </w:tcMar>
            <w:vAlign w:val="center"/>
          </w:tcPr>
          <w:p w14:paraId="3BC7F40E" w14:textId="77777777" w:rsidR="00D84A52" w:rsidRDefault="00000000">
            <w:pPr>
              <w:keepNext/>
              <w:keepLines/>
              <w:spacing w:after="20" w:line="240" w:lineRule="auto"/>
              <w:jc w:val="left"/>
            </w:pPr>
            <w:r>
              <w:rPr>
                <w:b/>
                <w:sz w:val="20"/>
              </w:rPr>
              <w:t>Independently specified comparison</w:t>
            </w:r>
          </w:p>
        </w:tc>
        <w:tc>
          <w:tcPr>
            <w:tcW w:w="3384" w:type="dxa"/>
            <w:shd w:val="clear" w:color="auto" w:fill="E8E8E8"/>
            <w:tcMar>
              <w:top w:w="80" w:type="dxa"/>
              <w:left w:w="85" w:type="dxa"/>
              <w:bottom w:w="80" w:type="dxa"/>
              <w:right w:w="85" w:type="dxa"/>
            </w:tcMar>
            <w:vAlign w:val="center"/>
          </w:tcPr>
          <w:p w14:paraId="00EA9DAC" w14:textId="77777777" w:rsidR="00D84A52" w:rsidRDefault="00000000">
            <w:pPr>
              <w:keepNext/>
              <w:keepLines/>
              <w:spacing w:after="20" w:line="240" w:lineRule="auto"/>
              <w:jc w:val="left"/>
            </w:pPr>
            <w:r>
              <w:rPr>
                <w:b/>
                <w:sz w:val="20"/>
              </w:rPr>
              <w:t>Result</w:t>
            </w:r>
          </w:p>
        </w:tc>
      </w:tr>
      <w:tr w:rsidR="00D84A52" w14:paraId="1B7E8945" w14:textId="77777777">
        <w:trPr>
          <w:cantSplit/>
          <w:jc w:val="center"/>
        </w:trPr>
        <w:tc>
          <w:tcPr>
            <w:tcW w:w="2376" w:type="dxa"/>
            <w:shd w:val="clear" w:color="auto" w:fill="FFFFFF"/>
            <w:tcMar>
              <w:top w:w="80" w:type="dxa"/>
              <w:left w:w="85" w:type="dxa"/>
              <w:bottom w:w="80" w:type="dxa"/>
              <w:right w:w="85" w:type="dxa"/>
            </w:tcMar>
            <w:vAlign w:val="center"/>
          </w:tcPr>
          <w:p w14:paraId="4006401E" w14:textId="77777777" w:rsidR="00D84A52" w:rsidRDefault="00000000">
            <w:pPr>
              <w:keepLines/>
              <w:spacing w:after="20" w:line="240" w:lineRule="auto"/>
              <w:jc w:val="left"/>
            </w:pPr>
            <w:r>
              <w:rPr>
                <w:sz w:val="20"/>
              </w:rPr>
              <w:t>Gaussian mixture gate</w:t>
            </w:r>
          </w:p>
        </w:tc>
        <w:tc>
          <w:tcPr>
            <w:tcW w:w="4176" w:type="dxa"/>
            <w:shd w:val="clear" w:color="auto" w:fill="FFFFFF"/>
            <w:tcMar>
              <w:top w:w="80" w:type="dxa"/>
              <w:left w:w="85" w:type="dxa"/>
              <w:bottom w:w="80" w:type="dxa"/>
              <w:right w:w="85" w:type="dxa"/>
            </w:tcMar>
            <w:vAlign w:val="center"/>
          </w:tcPr>
          <w:p w14:paraId="4AD693F1" w14:textId="77777777" w:rsidR="00D84A52" w:rsidRDefault="00000000">
            <w:pPr>
              <w:keepLines/>
              <w:spacing w:after="20" w:line="240" w:lineRule="auto"/>
              <w:jc w:val="left"/>
            </w:pPr>
            <w:r>
              <w:rPr>
                <w:sz w:val="20"/>
              </w:rPr>
              <w:t>Analytic conditional mean and direct quadrature</w:t>
            </w:r>
          </w:p>
        </w:tc>
        <w:tc>
          <w:tcPr>
            <w:tcW w:w="3384" w:type="dxa"/>
            <w:shd w:val="clear" w:color="auto" w:fill="FFFFFF"/>
            <w:tcMar>
              <w:top w:w="80" w:type="dxa"/>
              <w:left w:w="85" w:type="dxa"/>
              <w:bottom w:w="80" w:type="dxa"/>
              <w:right w:w="85" w:type="dxa"/>
            </w:tcMar>
            <w:vAlign w:val="center"/>
          </w:tcPr>
          <w:p w14:paraId="24F6649C" w14:textId="77777777" w:rsidR="00D84A52" w:rsidRDefault="00000000">
            <w:pPr>
              <w:keepLines/>
              <w:spacing w:after="20" w:line="240" w:lineRule="auto"/>
              <w:jc w:val="left"/>
            </w:pPr>
            <w:r>
              <w:rPr>
                <w:sz w:val="20"/>
              </w:rPr>
              <w:t>Gated mean 0.35002427; fixed-gate mean −0.03510754</w:t>
            </w:r>
          </w:p>
        </w:tc>
      </w:tr>
      <w:tr w:rsidR="00D84A52" w14:paraId="07E278D2" w14:textId="77777777">
        <w:trPr>
          <w:cantSplit/>
          <w:jc w:val="center"/>
        </w:trPr>
        <w:tc>
          <w:tcPr>
            <w:tcW w:w="2376" w:type="dxa"/>
            <w:shd w:val="clear" w:color="auto" w:fill="FFFFFF"/>
            <w:tcMar>
              <w:top w:w="80" w:type="dxa"/>
              <w:left w:w="85" w:type="dxa"/>
              <w:bottom w:w="80" w:type="dxa"/>
              <w:right w:w="85" w:type="dxa"/>
            </w:tcMar>
            <w:vAlign w:val="center"/>
          </w:tcPr>
          <w:p w14:paraId="6064D250" w14:textId="77777777" w:rsidR="00D84A52" w:rsidRDefault="00000000">
            <w:pPr>
              <w:keepLines/>
              <w:spacing w:after="20" w:line="240" w:lineRule="auto"/>
              <w:jc w:val="left"/>
            </w:pPr>
            <w:r>
              <w:rPr>
                <w:sz w:val="20"/>
              </w:rPr>
              <w:t>Finite-grid mixture kernel</w:t>
            </w:r>
          </w:p>
        </w:tc>
        <w:tc>
          <w:tcPr>
            <w:tcW w:w="4176" w:type="dxa"/>
            <w:shd w:val="clear" w:color="auto" w:fill="FFFFFF"/>
            <w:tcMar>
              <w:top w:w="80" w:type="dxa"/>
              <w:left w:w="85" w:type="dxa"/>
              <w:bottom w:w="80" w:type="dxa"/>
              <w:right w:w="85" w:type="dxa"/>
            </w:tcMar>
            <w:vAlign w:val="center"/>
          </w:tcPr>
          <w:p w14:paraId="16E53463" w14:textId="77777777" w:rsidR="00D84A52" w:rsidRDefault="00000000">
            <w:pPr>
              <w:keepLines/>
              <w:spacing w:after="20" w:line="240" w:lineRule="auto"/>
              <w:jc w:val="left"/>
            </w:pPr>
            <w:r>
              <w:rPr>
                <w:sz w:val="20"/>
              </w:rPr>
              <w:t xml:space="preserve">64,001 grid points on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oMath>
            <w:r>
              <w:rPr>
                <w:sz w:val="20"/>
              </w:rPr>
              <w:t xml:space="preserve"> versus analytic mean</w:t>
            </w:r>
          </w:p>
        </w:tc>
        <w:tc>
          <w:tcPr>
            <w:tcW w:w="3384" w:type="dxa"/>
            <w:shd w:val="clear" w:color="auto" w:fill="FFFFFF"/>
            <w:tcMar>
              <w:top w:w="80" w:type="dxa"/>
              <w:left w:w="85" w:type="dxa"/>
              <w:bottom w:w="80" w:type="dxa"/>
              <w:right w:w="85" w:type="dxa"/>
            </w:tcMar>
            <w:vAlign w:val="center"/>
          </w:tcPr>
          <w:p w14:paraId="72176DF6" w14:textId="77777777" w:rsidR="00D84A52" w:rsidRDefault="00000000">
            <w:pPr>
              <w:keepLines/>
              <w:spacing w:after="20" w:line="240" w:lineRule="auto"/>
              <w:jc w:val="left"/>
            </w:pPr>
            <w:r>
              <w:rPr>
                <w:sz w:val="20"/>
              </w:rPr>
              <w:t xml:space="preserve">Absolute difference below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D84A52" w14:paraId="4351673E" w14:textId="77777777">
        <w:trPr>
          <w:cantSplit/>
          <w:jc w:val="center"/>
        </w:trPr>
        <w:tc>
          <w:tcPr>
            <w:tcW w:w="2376" w:type="dxa"/>
            <w:shd w:val="clear" w:color="auto" w:fill="FFFFFF"/>
            <w:tcMar>
              <w:top w:w="80" w:type="dxa"/>
              <w:left w:w="85" w:type="dxa"/>
              <w:bottom w:w="80" w:type="dxa"/>
              <w:right w:w="85" w:type="dxa"/>
            </w:tcMar>
            <w:vAlign w:val="center"/>
          </w:tcPr>
          <w:p w14:paraId="1641CCE9" w14:textId="77777777" w:rsidR="00D84A52" w:rsidRDefault="00000000">
            <w:pPr>
              <w:keepLines/>
              <w:spacing w:after="20" w:line="240" w:lineRule="auto"/>
              <w:jc w:val="left"/>
            </w:pPr>
            <w:r>
              <w:rPr>
                <w:sz w:val="20"/>
              </w:rPr>
              <w:t>Component constant shifts</w:t>
            </w:r>
          </w:p>
        </w:tc>
        <w:tc>
          <w:tcPr>
            <w:tcW w:w="4176" w:type="dxa"/>
            <w:shd w:val="clear" w:color="auto" w:fill="FFFFFF"/>
            <w:tcMar>
              <w:top w:w="80" w:type="dxa"/>
              <w:left w:w="85" w:type="dxa"/>
              <w:bottom w:w="80" w:type="dxa"/>
              <w:right w:w="85" w:type="dxa"/>
            </w:tcMar>
            <w:vAlign w:val="center"/>
          </w:tcPr>
          <w:p w14:paraId="755EB818" w14:textId="77777777" w:rsidR="00D84A52" w:rsidRDefault="00000000">
            <w:pPr>
              <w:keepLines/>
              <w:spacing w:after="20" w:line="240" w:lineRule="auto"/>
              <w:jc w:val="left"/>
            </w:pPr>
            <w:r>
              <w:rPr>
                <w:sz w:val="20"/>
              </w:rPr>
              <w:t>Add 100 and −50 to the two log-weight rows</w:t>
            </w:r>
          </w:p>
        </w:tc>
        <w:tc>
          <w:tcPr>
            <w:tcW w:w="3384" w:type="dxa"/>
            <w:shd w:val="clear" w:color="auto" w:fill="FFFFFF"/>
            <w:tcMar>
              <w:top w:w="80" w:type="dxa"/>
              <w:left w:w="85" w:type="dxa"/>
              <w:bottom w:w="80" w:type="dxa"/>
              <w:right w:w="85" w:type="dxa"/>
            </w:tcMar>
            <w:vAlign w:val="center"/>
          </w:tcPr>
          <w:p w14:paraId="4DC96C6D" w14:textId="77777777" w:rsidR="00D84A52" w:rsidRDefault="00000000">
            <w:pPr>
              <w:keepLines/>
              <w:spacing w:after="20" w:line="240" w:lineRule="auto"/>
              <w:jc w:val="left"/>
            </w:pPr>
            <w:r>
              <w:rPr>
                <w:sz w:val="20"/>
              </w:rPr>
              <w:t xml:space="preserve">Fused mean change below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D84A52" w14:paraId="0AD7F87A" w14:textId="77777777">
        <w:trPr>
          <w:cantSplit/>
          <w:jc w:val="center"/>
        </w:trPr>
        <w:tc>
          <w:tcPr>
            <w:tcW w:w="2376" w:type="dxa"/>
            <w:shd w:val="clear" w:color="auto" w:fill="FFFFFF"/>
            <w:tcMar>
              <w:top w:w="80" w:type="dxa"/>
              <w:left w:w="85" w:type="dxa"/>
              <w:bottom w:w="80" w:type="dxa"/>
              <w:right w:w="85" w:type="dxa"/>
            </w:tcMar>
            <w:vAlign w:val="center"/>
          </w:tcPr>
          <w:p w14:paraId="24F2809B" w14:textId="77777777" w:rsidR="00D84A52" w:rsidRDefault="00000000">
            <w:pPr>
              <w:keepLines/>
              <w:spacing w:after="20" w:line="240" w:lineRule="auto"/>
              <w:jc w:val="left"/>
            </w:pPr>
            <w:r>
              <w:rPr>
                <w:sz w:val="20"/>
              </w:rPr>
              <w:t>Chebyshev reachability</w:t>
            </w:r>
          </w:p>
        </w:tc>
        <w:tc>
          <w:tcPr>
            <w:tcW w:w="4176" w:type="dxa"/>
            <w:shd w:val="clear" w:color="auto" w:fill="FFFFFF"/>
            <w:tcMar>
              <w:top w:w="80" w:type="dxa"/>
              <w:left w:w="85" w:type="dxa"/>
              <w:bottom w:w="80" w:type="dxa"/>
              <w:right w:w="85" w:type="dxa"/>
            </w:tcMar>
            <w:vAlign w:val="center"/>
          </w:tcPr>
          <w:p w14:paraId="063C6DF0" w14:textId="77777777" w:rsidR="00D84A52" w:rsidRDefault="00000000">
            <w:pPr>
              <w:keepLines/>
              <w:spacing w:after="20" w:line="240" w:lineRule="auto"/>
              <w:jc w:val="left"/>
            </w:pPr>
            <w:r>
              <w:rPr>
                <w:sz w:val="20"/>
              </w:rPr>
              <w:t xml:space="preserve">10,001 points on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rPr>
                <w:sz w:val="20"/>
              </w:rPr>
              <w:t xml:space="preserve">; (4) for </w:t>
            </w:r>
            <m:oMath>
              <m:r>
                <w:rPr>
                  <w:rFonts w:ascii="Cambria Math" w:hAnsi="Cambria Math"/>
                </w:rPr>
                <m:t>u</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oMath>
          </w:p>
        </w:tc>
        <w:tc>
          <w:tcPr>
            <w:tcW w:w="3384" w:type="dxa"/>
            <w:shd w:val="clear" w:color="auto" w:fill="FFFFFF"/>
            <w:tcMar>
              <w:top w:w="80" w:type="dxa"/>
              <w:left w:w="85" w:type="dxa"/>
              <w:bottom w:w="80" w:type="dxa"/>
              <w:right w:w="85" w:type="dxa"/>
            </w:tcMar>
            <w:vAlign w:val="center"/>
          </w:tcPr>
          <w:p w14:paraId="5752496E" w14:textId="77777777" w:rsidR="00D84A52" w:rsidRDefault="00000000">
            <w:pPr>
              <w:keepLines/>
              <w:spacing w:after="20" w:line="240" w:lineRule="auto"/>
              <w:jc w:val="left"/>
            </w:pPr>
            <w:r>
              <w:rPr>
                <w:sz w:val="20"/>
              </w:rPr>
              <w:t>Recovered each grid target exactly</w:t>
            </w:r>
          </w:p>
        </w:tc>
      </w:tr>
      <w:tr w:rsidR="00D84A52" w14:paraId="0C839130" w14:textId="77777777">
        <w:trPr>
          <w:cantSplit/>
          <w:jc w:val="center"/>
        </w:trPr>
        <w:tc>
          <w:tcPr>
            <w:tcW w:w="2376" w:type="dxa"/>
            <w:shd w:val="clear" w:color="auto" w:fill="FFFFFF"/>
            <w:tcMar>
              <w:top w:w="80" w:type="dxa"/>
              <w:left w:w="85" w:type="dxa"/>
              <w:bottom w:w="80" w:type="dxa"/>
              <w:right w:w="85" w:type="dxa"/>
            </w:tcMar>
            <w:vAlign w:val="center"/>
          </w:tcPr>
          <w:p w14:paraId="1A6408EF" w14:textId="77777777" w:rsidR="00D84A52" w:rsidRDefault="00000000">
            <w:pPr>
              <w:keepLines/>
              <w:spacing w:after="20" w:line="240" w:lineRule="auto"/>
              <w:jc w:val="left"/>
            </w:pPr>
            <w:r>
              <w:rPr>
                <w:sz w:val="20"/>
              </w:rPr>
              <w:t>Rank rectangle</w:t>
            </w:r>
          </w:p>
        </w:tc>
        <w:tc>
          <w:tcPr>
            <w:tcW w:w="4176" w:type="dxa"/>
            <w:shd w:val="clear" w:color="auto" w:fill="FFFFFF"/>
            <w:tcMar>
              <w:top w:w="80" w:type="dxa"/>
              <w:left w:w="85" w:type="dxa"/>
              <w:bottom w:w="80" w:type="dxa"/>
              <w:right w:w="85" w:type="dxa"/>
            </w:tcMar>
            <w:vAlign w:val="center"/>
          </w:tcPr>
          <w:p w14:paraId="0AB77D89" w14:textId="77777777" w:rsidR="00D84A52" w:rsidRDefault="00000000">
            <w:pPr>
              <w:keepLines/>
              <w:spacing w:after="20" w:line="240" w:lineRule="auto"/>
              <w:jc w:val="left"/>
            </w:pPr>
            <w:r>
              <w:rPr>
                <w:sz w:val="20"/>
              </w:rPr>
              <w:t>Six vectors in Section 5.1</w:t>
            </w:r>
          </w:p>
        </w:tc>
        <w:tc>
          <w:tcPr>
            <w:tcW w:w="3384" w:type="dxa"/>
            <w:shd w:val="clear" w:color="auto" w:fill="FFFFFF"/>
            <w:tcMar>
              <w:top w:w="80" w:type="dxa"/>
              <w:left w:w="85" w:type="dxa"/>
              <w:bottom w:w="80" w:type="dxa"/>
              <w:right w:w="85" w:type="dxa"/>
            </w:tcMar>
            <w:vAlign w:val="center"/>
          </w:tcPr>
          <w:p w14:paraId="3C57B9E6" w14:textId="77777777" w:rsidR="00D84A52" w:rsidRDefault="00000000">
            <w:pPr>
              <w:keepLines/>
              <w:spacing w:after="20" w:line="240" w:lineRule="auto"/>
              <w:jc w:val="left"/>
            </w:pPr>
            <w:r>
              <w:rPr>
                <w:sz w:val="20"/>
              </w:rPr>
              <w:t xml:space="preserve">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rPr>
                <w:sz w:val="20"/>
              </w:rPr>
              <w:t>; rectangle values 3 and 2</w:t>
            </w:r>
          </w:p>
        </w:tc>
      </w:tr>
      <w:tr w:rsidR="00D84A52" w14:paraId="7460CF4A" w14:textId="77777777">
        <w:trPr>
          <w:cantSplit/>
          <w:jc w:val="center"/>
        </w:trPr>
        <w:tc>
          <w:tcPr>
            <w:tcW w:w="2376" w:type="dxa"/>
            <w:shd w:val="clear" w:color="auto" w:fill="FFFFFF"/>
            <w:tcMar>
              <w:top w:w="80" w:type="dxa"/>
              <w:left w:w="85" w:type="dxa"/>
              <w:bottom w:w="80" w:type="dxa"/>
              <w:right w:w="85" w:type="dxa"/>
            </w:tcMar>
            <w:vAlign w:val="center"/>
          </w:tcPr>
          <w:p w14:paraId="2E658FBE" w14:textId="77777777" w:rsidR="00D84A52" w:rsidRDefault="00000000">
            <w:pPr>
              <w:keepLines/>
              <w:spacing w:after="20" w:line="240" w:lineRule="auto"/>
              <w:jc w:val="left"/>
            </w:pPr>
            <w:r>
              <w:rPr>
                <w:sz w:val="20"/>
              </w:rPr>
              <w:t>Metric counterexample</w:t>
            </w:r>
          </w:p>
        </w:tc>
        <w:tc>
          <w:tcPr>
            <w:tcW w:w="4176" w:type="dxa"/>
            <w:shd w:val="clear" w:color="auto" w:fill="FFFFFF"/>
            <w:tcMar>
              <w:top w:w="80" w:type="dxa"/>
              <w:left w:w="85" w:type="dxa"/>
              <w:bottom w:w="80" w:type="dxa"/>
              <w:right w:w="85" w:type="dxa"/>
            </w:tcMar>
            <w:vAlign w:val="center"/>
          </w:tcPr>
          <w:p w14:paraId="0948336F" w14:textId="77777777" w:rsidR="00D84A52" w:rsidRDefault="00000000">
            <w:pPr>
              <w:keepLines/>
              <w:spacing w:after="20" w:line="240" w:lineRule="auto"/>
              <w:jc w:val="left"/>
            </w:pPr>
            <w:r>
              <w:rPr>
                <w:sz w:val="20"/>
              </w:rPr>
              <w:t>Two successive archives in Section 8.1</w:t>
            </w:r>
          </w:p>
        </w:tc>
        <w:tc>
          <w:tcPr>
            <w:tcW w:w="3384" w:type="dxa"/>
            <w:shd w:val="clear" w:color="auto" w:fill="FFFFFF"/>
            <w:tcMar>
              <w:top w:w="80" w:type="dxa"/>
              <w:left w:w="85" w:type="dxa"/>
              <w:bottom w:w="80" w:type="dxa"/>
              <w:right w:w="85" w:type="dxa"/>
            </w:tcMar>
            <w:vAlign w:val="center"/>
          </w:tcPr>
          <w:p w14:paraId="31E9E0C6" w14:textId="77777777" w:rsidR="00D84A52" w:rsidRDefault="00000000">
            <w:pPr>
              <w:keepLines/>
              <w:spacing w:after="20" w:line="240" w:lineRule="auto"/>
              <w:jc w:val="left"/>
            </w:pPr>
            <w:r>
              <w:rPr>
                <w:sz w:val="20"/>
              </w:rPr>
              <w:t>Pruned IGD 0.1 to 1.001249; IGD+ 0.1 to 0.05</w:t>
            </w:r>
          </w:p>
        </w:tc>
      </w:tr>
    </w:tbl>
    <w:p w14:paraId="40FD2F09" w14:textId="77777777" w:rsidR="00D84A52" w:rsidRDefault="00000000">
      <w:pPr>
        <w:pStyle w:val="BodyText"/>
        <w:spacing w:before="140"/>
      </w:pPr>
      <w:r>
        <w:lastRenderedPageBreak/>
        <w:t xml:space="preserve">The same inverse-gap preferences select weighted-sum front endpoints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At balanced nominal weights, using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puts the Chebyshev grid minimizer at </w:t>
      </w:r>
      <m:oMath>
        <m:r>
          <w:rPr>
            <w:rFonts w:ascii="Cambria Math" w:hAnsi="Cambria Math"/>
          </w:rPr>
          <m:t>u</m:t>
        </m:r>
        <m:r>
          <m:rPr>
            <m:sty m:val="p"/>
          </m:rPr>
          <w:rPr>
            <w:rFonts w:ascii="Cambria Math" w:hAnsi="Cambria Math"/>
          </w:rPr>
          <m:t>=</m:t>
        </m:r>
        <m:r>
          <w:rPr>
            <w:rFonts w:ascii="Cambria Math" w:hAnsi="Cambria Math"/>
          </w:rPr>
          <m:t>0.1201</m:t>
        </m:r>
      </m:oMath>
      <w:r>
        <w:t xml:space="preserve">, compared with </w:t>
      </w:r>
      <m:oMath>
        <m:r>
          <w:rPr>
            <w:rFonts w:ascii="Cambria Math" w:hAnsi="Cambria Math"/>
          </w:rPr>
          <m:t>u</m:t>
        </m:r>
        <m:r>
          <m:rPr>
            <m:sty m:val="p"/>
          </m:rPr>
          <w:rPr>
            <w:rFonts w:ascii="Cambria Math" w:hAnsi="Cambria Math"/>
          </w:rPr>
          <m:t>=</m:t>
        </m:r>
        <m:r>
          <w:rPr>
            <w:rFonts w:ascii="Cambria Math" w:hAnsi="Cambria Math"/>
          </w:rPr>
          <m:t>0.6180</m:t>
        </m:r>
      </m:oMath>
      <w:r>
        <w:t xml:space="preserve"> under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with zero reference. These are exact finite-grid scalarization comparisons, not simulated ADE convergence results. A separate finite-state check verifies (17) with reference masses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e>
        </m:d>
      </m:oMath>
      <w:r>
        <w:t xml:space="preserve"> at 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at </w:t>
      </w:r>
      <m:oMath>
        <m:r>
          <w:rPr>
            <w:rFonts w:ascii="Cambria Math" w:hAnsi="Cambria Math"/>
          </w:rPr>
          <m:t>β</m:t>
        </m:r>
        <m:r>
          <m:rPr>
            <m:sty m:val="p"/>
          </m:rPr>
          <w:rPr>
            <w:rFonts w:ascii="Cambria Math" w:hAnsi="Cambria Math"/>
          </w:rPr>
          <m:t>=</m:t>
        </m:r>
        <m:r>
          <w:rPr>
            <w:rFonts w:ascii="Cambria Math" w:hAnsi="Cambria Math"/>
          </w:rPr>
          <m:t>10</m:t>
        </m:r>
      </m:oMath>
      <w:r>
        <w:t xml:space="preserve"> the outside mass is </w:t>
      </w:r>
      <m:oMath>
        <m:r>
          <w:rPr>
            <w:rFonts w:ascii="Cambria Math" w:hAnsi="Cambria Math"/>
          </w:rPr>
          <m:t>6.81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below the bound </w:t>
      </w:r>
      <m:oMath>
        <m:r>
          <w:rPr>
            <w:rFonts w:ascii="Cambria Math" w:hAnsi="Cambria Math"/>
          </w:rPr>
          <m:t>2.27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4C024E80" w14:textId="77777777" w:rsidR="00D84A52" w:rsidRDefault="00000000">
      <w:pPr>
        <w:pStyle w:val="BodyText"/>
        <w:keepNext/>
        <w:jc w:val="center"/>
      </w:pPr>
      <w:r>
        <w:rPr>
          <w:noProof/>
        </w:rPr>
        <w:drawing>
          <wp:inline distT="0" distB="0" distL="0" distR="0" wp14:anchorId="77F44539" wp14:editId="71109E3B">
            <wp:extent cx="6126480" cy="238752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usion.png"/>
                    <pic:cNvPicPr>
                      <a:picLocks noChangeAspect="1" noChangeArrowheads="1"/>
                    </pic:cNvPicPr>
                  </pic:nvPicPr>
                  <pic:blipFill>
                    <a:blip r:embed="rId7"/>
                    <a:stretch>
                      <a:fillRect/>
                    </a:stretch>
                  </pic:blipFill>
                  <pic:spPr bwMode="auto">
                    <a:xfrm>
                      <a:off x="0" y="0"/>
                      <a:ext cx="6126480" cy="2387525"/>
                    </a:xfrm>
                    <a:prstGeom prst="rect">
                      <a:avLst/>
                    </a:prstGeom>
                    <a:noFill/>
                    <a:ln w="9525">
                      <a:noFill/>
                      <a:headEnd/>
                      <a:tailEnd/>
                    </a:ln>
                  </pic:spPr>
                </pic:pic>
              </a:graphicData>
            </a:graphic>
          </wp:inline>
        </w:drawing>
      </w:r>
    </w:p>
    <w:p w14:paraId="0F8A635D" w14:textId="77777777" w:rsidR="00D84A52" w:rsidRDefault="00000000">
      <w:pPr>
        <w:pStyle w:val="Caption"/>
        <w:keepNext/>
        <w:keepLines/>
      </w:pPr>
      <w:r>
        <w:t>Figure 1. Analytic mixture gates vary with the query, while a fixed gate ignores that evidence. On the concave objective front, the marked interior vectors are recovered by their Chebyshev inverse-gap preferences; positive weighted sums attain their minima at endpoints. Plotted labels retain V4 numbering and source provenance; Section 9.8 qualifies numerical certification.</w:t>
      </w:r>
    </w:p>
    <w:p w14:paraId="4B12989D" w14:textId="77777777" w:rsidR="00D84A52" w:rsidRDefault="00000000">
      <w:pPr>
        <w:pStyle w:val="Heading2"/>
      </w:pPr>
      <w:bookmarkStart w:id="35" w:name="X47eadc8479c6692c8f37ec8d4242818e6a75966"/>
      <w:bookmarkEnd w:id="34"/>
      <w:r>
        <w:t>9.2 Reusing an adaptive selectively observed archive</w:t>
      </w:r>
    </w:p>
    <w:p w14:paraId="237590DC" w14:textId="77777777" w:rsidR="00D84A52" w:rsidRDefault="00000000">
      <w:pPr>
        <w:pStyle w:val="FirstParagraph"/>
      </w:pPr>
      <w:r>
        <w:t xml:space="preserve">Use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uniform reference </w:t>
      </w:r>
      <m:oMath>
        <m:r>
          <w:rPr>
            <w:rFonts w:ascii="Cambria Math" w:hAnsi="Cambria Math"/>
          </w:rPr>
          <m:t>μ</m:t>
        </m:r>
      </m:oMath>
      <w:r>
        <w:t xml:space="preserve">, objectives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inverse temperature 2. Each block of 1,000 candidates is drawn from a defensive mixture of 0.2 times the uniform reference and 0.8 times a normal distribution truncated to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with standard deviation 0.35. The archive check starts its own generator at the stated seed. The first local mean is zero. After a block, update the next mean to the corrected archive’s mean design, clipped to </w:t>
      </w:r>
      <m:oMath>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1.3</m:t>
        </m:r>
        <m:r>
          <m:rPr>
            <m:sty m:val="p"/>
          </m:rPr>
          <w:rPr>
            <w:rFonts w:ascii="Cambria Math" w:hAnsi="Cambria Math"/>
          </w:rPr>
          <m:t>]</m:t>
        </m:r>
      </m:oMath>
      <w:r>
        <w:t>, alternating preference weights 0.9 and 0.1 on the first objective. This makes each block’s proposal depend on earlier observations, with its normalized truncated density available.</w:t>
      </w:r>
    </w:p>
    <w:p w14:paraId="704308E2" w14:textId="77777777" w:rsidR="00D84A52" w:rsidRDefault="00000000">
      <w:pPr>
        <w:pStyle w:val="BodyText"/>
      </w:pPr>
      <w:r>
        <w:t xml:space="preserve">Include a response with probability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e>
        </m:d>
      </m:oMath>
      <w:r>
        <w:t xml:space="preserve">. After 100 blocks there are 100,000 attempts and 64,605 included response vectors. Postprocess this single archive at eleven weights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oMath>
      <w:r>
        <w:t xml:space="preserve"> using (18). Independent one-dimensional quadrature supplies the target mean of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for each preference. The maximum absolute error across the eleven preferences is 0.0097197 for corrected estimates and 0.3584110 for uncorrected loss weights on the same observed states. No new objective evaluations are used during this postprocessing. Section 9.5 retains the V4 interval reference and 200-seed summary; Section 9.8 states their numerical limits.</w:t>
      </w:r>
    </w:p>
    <w:p w14:paraId="56B8B272" w14:textId="77777777" w:rsidR="00D84A52" w:rsidRDefault="00000000">
      <w:pPr>
        <w:pStyle w:val="BodyText"/>
        <w:keepNext/>
        <w:jc w:val="center"/>
      </w:pPr>
      <w:r>
        <w:rPr>
          <w:noProof/>
        </w:rPr>
        <w:lastRenderedPageBreak/>
        <w:drawing>
          <wp:inline distT="0" distB="0" distL="0" distR="0" wp14:anchorId="25932776" wp14:editId="195D8E3F">
            <wp:extent cx="6035040" cy="23774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reuse.png"/>
                    <pic:cNvPicPr>
                      <a:picLocks noChangeAspect="1" noChangeArrowheads="1"/>
                    </pic:cNvPicPr>
                  </pic:nvPicPr>
                  <pic:blipFill>
                    <a:blip r:embed="rId8"/>
                    <a:stretch>
                      <a:fillRect/>
                    </a:stretch>
                  </pic:blipFill>
                  <pic:spPr bwMode="auto">
                    <a:xfrm>
                      <a:off x="0" y="0"/>
                      <a:ext cx="6035040" cy="2377440"/>
                    </a:xfrm>
                    <a:prstGeom prst="rect">
                      <a:avLst/>
                    </a:prstGeom>
                    <a:noFill/>
                    <a:ln w="9525">
                      <a:noFill/>
                      <a:headEnd/>
                      <a:tailEnd/>
                    </a:ln>
                  </pic:spPr>
                </pic:pic>
              </a:graphicData>
            </a:graphic>
          </wp:inline>
        </w:drawing>
      </w:r>
    </w:p>
    <w:p w14:paraId="06A2B26F" w14:textId="77777777" w:rsidR="00D84A52" w:rsidRDefault="00000000">
      <w:pPr>
        <w:pStyle w:val="Caption"/>
        <w:keepNext/>
        <w:keepLines/>
      </w:pPr>
      <w:r>
        <w:t>Figure 2. Preference-dependent target means from independent quadrature and one V4 adaptive archive. Corrected estimates closely follow the target curve; uncorrected estimates retain the archive’s sampling and observation distortion. This is a single numerical check of preference reuse, not an industrial performance claim. Plotted labels retain V4 numbering and source provenance; Section 9.8 qualifies numerical certification.</w:t>
      </w:r>
    </w:p>
    <w:p w14:paraId="2AA3F8D5" w14:textId="77777777" w:rsidR="00D84A52" w:rsidRDefault="00000000">
      <w:pPr>
        <w:pStyle w:val="Heading2"/>
      </w:pPr>
      <w:bookmarkStart w:id="36" w:name="earlier-ade-benchmark-results"/>
      <w:bookmarkEnd w:id="35"/>
      <w:r>
        <w:t>9.3 Earlier ADE benchmark results</w:t>
      </w:r>
    </w:p>
    <w:p w14:paraId="6F8DD92B" w14:textId="77777777" w:rsidR="00D84A52" w:rsidRDefault="00000000">
      <w:pPr>
        <w:pStyle w:val="FirstParagraph"/>
      </w:pPr>
      <w:r>
        <w:t xml:space="preserve">The earlier manuscript reports ten-seed runs using latent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Its benchmark variants set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and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r>
          <m:rPr>
            <m:sty m:val="p"/>
          </m:rPr>
          <w:rPr>
            <w:rFonts w:ascii="Cambria Math" w:hAnsi="Cambria Math"/>
          </w:rPr>
          <m:t>/</m:t>
        </m:r>
        <m:r>
          <w:rPr>
            <w:rFonts w:ascii="Cambria Math" w:hAnsi="Cambria Math"/>
          </w:rPr>
          <m:t>3</m:t>
        </m:r>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rad>
          </m:e>
        </m:d>
      </m:oMath>
      <w:r>
        <w:t xml:space="preserve"> for its ZDT1 variant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d>
              </m:e>
              <m:sup>
                <m:r>
                  <w:rPr>
                    <w:rFonts w:ascii="Cambria Math" w:hAnsi="Cambria Math"/>
                  </w:rPr>
                  <m:t>2</m:t>
                </m:r>
              </m:sup>
            </m:sSup>
          </m:e>
        </m:d>
      </m:oMath>
      <w:r>
        <w:t xml:space="preserve"> for its ZDT2 variant. Coordinates 5–10 are inactive. These are ZDT-inspired reduced-active-variable variants, not the full standard ten-variable definitions [10]. The sigmoid reaches the open cube; the tabulated ideal front lies in its closure.</w:t>
      </w:r>
    </w:p>
    <w:p w14:paraId="2FD14600" w14:textId="77777777" w:rsidR="00D84A52" w:rsidRDefault="00000000">
      <w:pPr>
        <w:pStyle w:val="BodyText"/>
      </w:pPr>
      <w:r>
        <w:t xml:space="preserve">The reported settings use 16 stages, a cosine schedule, noise multiplier one, inverse temperature increasing from 3 to 30, 50 prompt evaluations, and a nominal budget of 1,200 evaluations. IGD uses 500 reference-front points, with hypervolume reference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1.1</m:t>
            </m:r>
          </m:e>
        </m:d>
      </m:oMath>
      <w:r>
        <w:t>. Table 3 retains selected summaries from that manuscript [11]. They are not newly replicated by the checks above. Standard errors describe those reported ten-seed results; they do not establish a tuned baseline comparison or causal attribution to one architectural mechanism.</w:t>
      </w:r>
    </w:p>
    <w:p w14:paraId="0A773FC0" w14:textId="77777777" w:rsidR="00D84A52" w:rsidRDefault="00000000">
      <w:pPr>
        <w:pStyle w:val="Caption"/>
        <w:keepNext/>
      </w:pPr>
      <w:r>
        <w:t>Table 3. Selected earlier reported fusion results, mean IGD ± standard error, ten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4608"/>
        <w:gridCol w:w="2664"/>
        <w:gridCol w:w="2664"/>
      </w:tblGrid>
      <w:tr w:rsidR="00D84A52" w14:paraId="6C229A5F" w14:textId="77777777">
        <w:trPr>
          <w:cantSplit/>
          <w:tblHeader/>
          <w:jc w:val="center"/>
        </w:trPr>
        <w:tc>
          <w:tcPr>
            <w:tcW w:w="4608" w:type="dxa"/>
            <w:shd w:val="clear" w:color="auto" w:fill="E8E8E8"/>
            <w:tcMar>
              <w:top w:w="80" w:type="dxa"/>
              <w:left w:w="85" w:type="dxa"/>
              <w:bottom w:w="80" w:type="dxa"/>
              <w:right w:w="85" w:type="dxa"/>
            </w:tcMar>
            <w:vAlign w:val="center"/>
          </w:tcPr>
          <w:p w14:paraId="1BD562BF" w14:textId="77777777" w:rsidR="00D84A52" w:rsidRDefault="00000000">
            <w:pPr>
              <w:keepNext/>
              <w:keepLines/>
              <w:spacing w:after="20" w:line="240" w:lineRule="auto"/>
              <w:jc w:val="left"/>
            </w:pPr>
            <w:r>
              <w:rPr>
                <w:b/>
                <w:sz w:val="20"/>
              </w:rPr>
              <w:t>Fusion or comparison</w:t>
            </w:r>
          </w:p>
        </w:tc>
        <w:tc>
          <w:tcPr>
            <w:tcW w:w="2664" w:type="dxa"/>
            <w:shd w:val="clear" w:color="auto" w:fill="E8E8E8"/>
            <w:tcMar>
              <w:top w:w="80" w:type="dxa"/>
              <w:left w:w="85" w:type="dxa"/>
              <w:bottom w:w="80" w:type="dxa"/>
              <w:right w:w="85" w:type="dxa"/>
            </w:tcMar>
            <w:vAlign w:val="center"/>
          </w:tcPr>
          <w:p w14:paraId="643A037D" w14:textId="77777777" w:rsidR="00D84A52" w:rsidRDefault="00000000">
            <w:pPr>
              <w:keepNext/>
              <w:keepLines/>
              <w:spacing w:after="20" w:line="240" w:lineRule="auto"/>
              <w:jc w:val="right"/>
            </w:pPr>
            <w:r>
              <w:rPr>
                <w:b/>
                <w:sz w:val="20"/>
              </w:rPr>
              <w:t>ZDT1 variant</w:t>
            </w:r>
          </w:p>
        </w:tc>
        <w:tc>
          <w:tcPr>
            <w:tcW w:w="2664" w:type="dxa"/>
            <w:shd w:val="clear" w:color="auto" w:fill="E8E8E8"/>
            <w:tcMar>
              <w:top w:w="80" w:type="dxa"/>
              <w:left w:w="85" w:type="dxa"/>
              <w:bottom w:w="80" w:type="dxa"/>
              <w:right w:w="85" w:type="dxa"/>
            </w:tcMar>
            <w:vAlign w:val="center"/>
          </w:tcPr>
          <w:p w14:paraId="20A4C4E7" w14:textId="77777777" w:rsidR="00D84A52" w:rsidRDefault="00000000">
            <w:pPr>
              <w:keepNext/>
              <w:keepLines/>
              <w:spacing w:after="20" w:line="240" w:lineRule="auto"/>
              <w:jc w:val="right"/>
            </w:pPr>
            <w:r>
              <w:rPr>
                <w:b/>
                <w:sz w:val="20"/>
              </w:rPr>
              <w:t>ZDT2 variant</w:t>
            </w:r>
          </w:p>
        </w:tc>
      </w:tr>
      <w:tr w:rsidR="00D84A52" w14:paraId="3FC73C41" w14:textId="77777777">
        <w:trPr>
          <w:cantSplit/>
          <w:jc w:val="center"/>
        </w:trPr>
        <w:tc>
          <w:tcPr>
            <w:tcW w:w="4608" w:type="dxa"/>
            <w:shd w:val="clear" w:color="auto" w:fill="FFFFFF"/>
            <w:tcMar>
              <w:top w:w="80" w:type="dxa"/>
              <w:left w:w="85" w:type="dxa"/>
              <w:bottom w:w="80" w:type="dxa"/>
              <w:right w:w="85" w:type="dxa"/>
            </w:tcMar>
            <w:vAlign w:val="center"/>
          </w:tcPr>
          <w:p w14:paraId="06892128" w14:textId="77777777" w:rsidR="00D84A52" w:rsidRDefault="00000000">
            <w:pPr>
              <w:keepNext/>
              <w:keepLines/>
              <w:spacing w:after="20" w:line="240" w:lineRule="auto"/>
              <w:jc w:val="left"/>
            </w:pPr>
            <w:r>
              <w:rPr>
                <w:sz w:val="20"/>
              </w:rPr>
              <w:t>Early fusion with moving min–max scales</w:t>
            </w:r>
          </w:p>
        </w:tc>
        <w:tc>
          <w:tcPr>
            <w:tcW w:w="2664" w:type="dxa"/>
            <w:shd w:val="clear" w:color="auto" w:fill="FFFFFF"/>
            <w:tcMar>
              <w:top w:w="80" w:type="dxa"/>
              <w:left w:w="85" w:type="dxa"/>
              <w:bottom w:w="80" w:type="dxa"/>
              <w:right w:w="85" w:type="dxa"/>
            </w:tcMar>
            <w:vAlign w:val="center"/>
          </w:tcPr>
          <w:p w14:paraId="55C9ABB6" w14:textId="77777777" w:rsidR="00D84A52" w:rsidRDefault="00000000">
            <w:pPr>
              <w:keepNext/>
              <w:keepLines/>
              <w:spacing w:after="20" w:line="240" w:lineRule="auto"/>
              <w:jc w:val="right"/>
            </w:pPr>
            <m:oMathPara>
              <m:oMath>
                <m:r>
                  <w:rPr>
                    <w:rFonts w:ascii="Cambria Math" w:hAnsi="Cambria Math"/>
                  </w:rPr>
                  <m:t>0.246</m:t>
                </m:r>
                <m:r>
                  <m:rPr>
                    <m:sty m:val="p"/>
                  </m:rPr>
                  <w:rPr>
                    <w:rFonts w:ascii="Cambria Math" w:hAnsi="Cambria Math"/>
                  </w:rPr>
                  <m:t>±</m:t>
                </m:r>
                <m:r>
                  <w:rPr>
                    <w:rFonts w:ascii="Cambria Math" w:hAnsi="Cambria Math"/>
                  </w:rPr>
                  <m:t>0.023</m:t>
                </m:r>
              </m:oMath>
            </m:oMathPara>
          </w:p>
        </w:tc>
        <w:tc>
          <w:tcPr>
            <w:tcW w:w="2664" w:type="dxa"/>
            <w:shd w:val="clear" w:color="auto" w:fill="FFFFFF"/>
            <w:tcMar>
              <w:top w:w="80" w:type="dxa"/>
              <w:left w:w="85" w:type="dxa"/>
              <w:bottom w:w="80" w:type="dxa"/>
              <w:right w:w="85" w:type="dxa"/>
            </w:tcMar>
            <w:vAlign w:val="center"/>
          </w:tcPr>
          <w:p w14:paraId="34CD3717" w14:textId="77777777" w:rsidR="00D84A52" w:rsidRDefault="00000000">
            <w:pPr>
              <w:keepNext/>
              <w:keepLines/>
              <w:spacing w:after="20" w:line="240" w:lineRule="auto"/>
              <w:jc w:val="right"/>
            </w:pPr>
            <m:oMathPara>
              <m:oMath>
                <m:r>
                  <w:rPr>
                    <w:rFonts w:ascii="Cambria Math" w:hAnsi="Cambria Math"/>
                  </w:rPr>
                  <m:t>0.493</m:t>
                </m:r>
                <m:r>
                  <m:rPr>
                    <m:sty m:val="p"/>
                  </m:rPr>
                  <w:rPr>
                    <w:rFonts w:ascii="Cambria Math" w:hAnsi="Cambria Math"/>
                  </w:rPr>
                  <m:t>±</m:t>
                </m:r>
                <m:r>
                  <w:rPr>
                    <w:rFonts w:ascii="Cambria Math" w:hAnsi="Cambria Math"/>
                  </w:rPr>
                  <m:t>0.057</m:t>
                </m:r>
              </m:oMath>
            </m:oMathPara>
          </w:p>
        </w:tc>
      </w:tr>
      <w:tr w:rsidR="00D84A52" w14:paraId="472FB8A5" w14:textId="77777777">
        <w:trPr>
          <w:cantSplit/>
          <w:jc w:val="center"/>
        </w:trPr>
        <w:tc>
          <w:tcPr>
            <w:tcW w:w="4608" w:type="dxa"/>
            <w:shd w:val="clear" w:color="auto" w:fill="FFFFFF"/>
            <w:tcMar>
              <w:top w:w="80" w:type="dxa"/>
              <w:left w:w="85" w:type="dxa"/>
              <w:bottom w:w="80" w:type="dxa"/>
              <w:right w:w="85" w:type="dxa"/>
            </w:tcMar>
            <w:vAlign w:val="center"/>
          </w:tcPr>
          <w:p w14:paraId="595F6DB7" w14:textId="77777777" w:rsidR="00D84A52" w:rsidRDefault="00000000">
            <w:pPr>
              <w:keepNext/>
              <w:keepLines/>
              <w:spacing w:after="20" w:line="240" w:lineRule="auto"/>
              <w:jc w:val="left"/>
            </w:pPr>
            <w:r>
              <w:rPr>
                <w:sz w:val="20"/>
              </w:rPr>
              <w:t>Late fusion with fixed gates</w:t>
            </w:r>
          </w:p>
        </w:tc>
        <w:tc>
          <w:tcPr>
            <w:tcW w:w="2664" w:type="dxa"/>
            <w:shd w:val="clear" w:color="auto" w:fill="FFFFFF"/>
            <w:tcMar>
              <w:top w:w="80" w:type="dxa"/>
              <w:left w:w="85" w:type="dxa"/>
              <w:bottom w:w="80" w:type="dxa"/>
              <w:right w:w="85" w:type="dxa"/>
            </w:tcMar>
            <w:vAlign w:val="center"/>
          </w:tcPr>
          <w:p w14:paraId="3D00F918" w14:textId="77777777" w:rsidR="00D84A52" w:rsidRDefault="00000000">
            <w:pPr>
              <w:keepNext/>
              <w:keepLines/>
              <w:spacing w:after="20" w:line="240" w:lineRule="auto"/>
              <w:jc w:val="right"/>
            </w:pPr>
            <m:oMathPara>
              <m:oMath>
                <m:r>
                  <w:rPr>
                    <w:rFonts w:ascii="Cambria Math" w:hAnsi="Cambria Math"/>
                  </w:rPr>
                  <m:t>0.259</m:t>
                </m:r>
                <m:r>
                  <m:rPr>
                    <m:sty m:val="p"/>
                  </m:rPr>
                  <w:rPr>
                    <w:rFonts w:ascii="Cambria Math" w:hAnsi="Cambria Math"/>
                  </w:rPr>
                  <m:t>±</m:t>
                </m:r>
                <m:r>
                  <w:rPr>
                    <w:rFonts w:ascii="Cambria Math" w:hAnsi="Cambria Math"/>
                  </w:rPr>
                  <m:t>0.018</m:t>
                </m:r>
              </m:oMath>
            </m:oMathPara>
          </w:p>
        </w:tc>
        <w:tc>
          <w:tcPr>
            <w:tcW w:w="2664" w:type="dxa"/>
            <w:shd w:val="clear" w:color="auto" w:fill="FFFFFF"/>
            <w:tcMar>
              <w:top w:w="80" w:type="dxa"/>
              <w:left w:w="85" w:type="dxa"/>
              <w:bottom w:w="80" w:type="dxa"/>
              <w:right w:w="85" w:type="dxa"/>
            </w:tcMar>
            <w:vAlign w:val="center"/>
          </w:tcPr>
          <w:p w14:paraId="6960F1F8" w14:textId="77777777" w:rsidR="00D84A52" w:rsidRDefault="00000000">
            <w:pPr>
              <w:keepNext/>
              <w:keepLines/>
              <w:spacing w:after="20" w:line="240" w:lineRule="auto"/>
              <w:jc w:val="right"/>
            </w:pPr>
            <m:oMathPara>
              <m:oMath>
                <m:r>
                  <w:rPr>
                    <w:rFonts w:ascii="Cambria Math" w:hAnsi="Cambria Math"/>
                  </w:rPr>
                  <m:t>0.452</m:t>
                </m:r>
                <m:r>
                  <m:rPr>
                    <m:sty m:val="p"/>
                  </m:rPr>
                  <w:rPr>
                    <w:rFonts w:ascii="Cambria Math" w:hAnsi="Cambria Math"/>
                  </w:rPr>
                  <m:t>±</m:t>
                </m:r>
                <m:r>
                  <w:rPr>
                    <w:rFonts w:ascii="Cambria Math" w:hAnsi="Cambria Math"/>
                  </w:rPr>
                  <m:t>0.053</m:t>
                </m:r>
              </m:oMath>
            </m:oMathPara>
          </w:p>
        </w:tc>
      </w:tr>
      <w:tr w:rsidR="00D84A52" w14:paraId="17D7AC8A" w14:textId="77777777">
        <w:trPr>
          <w:cantSplit/>
          <w:jc w:val="center"/>
        </w:trPr>
        <w:tc>
          <w:tcPr>
            <w:tcW w:w="4608" w:type="dxa"/>
            <w:shd w:val="clear" w:color="auto" w:fill="FFFFFF"/>
            <w:tcMar>
              <w:top w:w="80" w:type="dxa"/>
              <w:left w:w="85" w:type="dxa"/>
              <w:bottom w:w="80" w:type="dxa"/>
              <w:right w:w="85" w:type="dxa"/>
            </w:tcMar>
            <w:vAlign w:val="center"/>
          </w:tcPr>
          <w:p w14:paraId="0CCB6DF5" w14:textId="77777777" w:rsidR="00D84A52" w:rsidRDefault="00000000">
            <w:pPr>
              <w:keepNext/>
              <w:keepLines/>
              <w:spacing w:after="20" w:line="240" w:lineRule="auto"/>
              <w:jc w:val="left"/>
            </w:pPr>
            <w:r>
              <w:rPr>
                <w:sz w:val="20"/>
              </w:rPr>
              <w:t>Late fusion with evidence gates</w:t>
            </w:r>
          </w:p>
        </w:tc>
        <w:tc>
          <w:tcPr>
            <w:tcW w:w="2664" w:type="dxa"/>
            <w:shd w:val="clear" w:color="auto" w:fill="FFFFFF"/>
            <w:tcMar>
              <w:top w:w="80" w:type="dxa"/>
              <w:left w:w="85" w:type="dxa"/>
              <w:bottom w:w="80" w:type="dxa"/>
              <w:right w:w="85" w:type="dxa"/>
            </w:tcMar>
            <w:vAlign w:val="center"/>
          </w:tcPr>
          <w:p w14:paraId="73460593" w14:textId="77777777" w:rsidR="00D84A52" w:rsidRDefault="00000000">
            <w:pPr>
              <w:keepNext/>
              <w:keepLines/>
              <w:spacing w:after="20" w:line="240" w:lineRule="auto"/>
              <w:jc w:val="right"/>
            </w:pPr>
            <m:oMathPara>
              <m:oMath>
                <m:r>
                  <w:rPr>
                    <w:rFonts w:ascii="Cambria Math" w:hAnsi="Cambria Math"/>
                  </w:rPr>
                  <m:t>0.219</m:t>
                </m:r>
                <m:r>
                  <m:rPr>
                    <m:sty m:val="p"/>
                  </m:rPr>
                  <w:rPr>
                    <w:rFonts w:ascii="Cambria Math" w:hAnsi="Cambria Math"/>
                  </w:rPr>
                  <m:t>±</m:t>
                </m:r>
                <m:r>
                  <w:rPr>
                    <w:rFonts w:ascii="Cambria Math" w:hAnsi="Cambria Math"/>
                  </w:rPr>
                  <m:t>0.008</m:t>
                </m:r>
              </m:oMath>
            </m:oMathPara>
          </w:p>
        </w:tc>
        <w:tc>
          <w:tcPr>
            <w:tcW w:w="2664" w:type="dxa"/>
            <w:shd w:val="clear" w:color="auto" w:fill="FFFFFF"/>
            <w:tcMar>
              <w:top w:w="80" w:type="dxa"/>
              <w:left w:w="85" w:type="dxa"/>
              <w:bottom w:w="80" w:type="dxa"/>
              <w:right w:w="85" w:type="dxa"/>
            </w:tcMar>
            <w:vAlign w:val="center"/>
          </w:tcPr>
          <w:p w14:paraId="6050D3BC" w14:textId="77777777" w:rsidR="00D84A52" w:rsidRDefault="00000000">
            <w:pPr>
              <w:keepNext/>
              <w:keepLines/>
              <w:spacing w:after="20" w:line="240" w:lineRule="auto"/>
              <w:jc w:val="right"/>
            </w:pPr>
            <m:oMathPara>
              <m:oMath>
                <m:r>
                  <w:rPr>
                    <w:rFonts w:ascii="Cambria Math" w:hAnsi="Cambria Math"/>
                  </w:rPr>
                  <m:t>0.333</m:t>
                </m:r>
                <m:r>
                  <m:rPr>
                    <m:sty m:val="p"/>
                  </m:rPr>
                  <w:rPr>
                    <w:rFonts w:ascii="Cambria Math" w:hAnsi="Cambria Math"/>
                  </w:rPr>
                  <m:t>±</m:t>
                </m:r>
                <m:r>
                  <w:rPr>
                    <w:rFonts w:ascii="Cambria Math" w:hAnsi="Cambria Math"/>
                  </w:rPr>
                  <m:t>0.047</m:t>
                </m:r>
              </m:oMath>
            </m:oMathPara>
          </w:p>
        </w:tc>
      </w:tr>
      <w:tr w:rsidR="00D84A52" w14:paraId="26EB0252" w14:textId="77777777">
        <w:trPr>
          <w:cantSplit/>
          <w:jc w:val="center"/>
        </w:trPr>
        <w:tc>
          <w:tcPr>
            <w:tcW w:w="4608" w:type="dxa"/>
            <w:shd w:val="clear" w:color="auto" w:fill="FFFFFF"/>
            <w:tcMar>
              <w:top w:w="80" w:type="dxa"/>
              <w:left w:w="85" w:type="dxa"/>
              <w:bottom w:w="80" w:type="dxa"/>
              <w:right w:w="85" w:type="dxa"/>
            </w:tcMar>
            <w:vAlign w:val="center"/>
          </w:tcPr>
          <w:p w14:paraId="4802EA6C" w14:textId="77777777" w:rsidR="00D84A52" w:rsidRDefault="00000000">
            <w:pPr>
              <w:keepNext/>
              <w:keepLines/>
              <w:spacing w:after="20" w:line="240" w:lineRule="auto"/>
              <w:jc w:val="left"/>
            </w:pPr>
            <w:r>
              <w:rPr>
                <w:sz w:val="20"/>
              </w:rPr>
              <w:t>Chebyshev with moving min–max scales</w:t>
            </w:r>
          </w:p>
        </w:tc>
        <w:tc>
          <w:tcPr>
            <w:tcW w:w="2664" w:type="dxa"/>
            <w:shd w:val="clear" w:color="auto" w:fill="FFFFFF"/>
            <w:tcMar>
              <w:top w:w="80" w:type="dxa"/>
              <w:left w:w="85" w:type="dxa"/>
              <w:bottom w:w="80" w:type="dxa"/>
              <w:right w:w="85" w:type="dxa"/>
            </w:tcMar>
            <w:vAlign w:val="center"/>
          </w:tcPr>
          <w:p w14:paraId="32E8053B" w14:textId="77777777" w:rsidR="00D84A52" w:rsidRDefault="00000000">
            <w:pPr>
              <w:keepNext/>
              <w:keepLines/>
              <w:spacing w:after="20" w:line="240" w:lineRule="auto"/>
              <w:jc w:val="right"/>
            </w:pPr>
            <m:oMathPara>
              <m:oMath>
                <m:r>
                  <w:rPr>
                    <w:rFonts w:ascii="Cambria Math" w:hAnsi="Cambria Math"/>
                  </w:rPr>
                  <m:t>0.262</m:t>
                </m:r>
                <m:r>
                  <m:rPr>
                    <m:sty m:val="p"/>
                  </m:rPr>
                  <w:rPr>
                    <w:rFonts w:ascii="Cambria Math" w:hAnsi="Cambria Math"/>
                  </w:rPr>
                  <m:t>±</m:t>
                </m:r>
                <m:r>
                  <w:rPr>
                    <w:rFonts w:ascii="Cambria Math" w:hAnsi="Cambria Math"/>
                  </w:rPr>
                  <m:t>0.019</m:t>
                </m:r>
              </m:oMath>
            </m:oMathPara>
          </w:p>
        </w:tc>
        <w:tc>
          <w:tcPr>
            <w:tcW w:w="2664" w:type="dxa"/>
            <w:shd w:val="clear" w:color="auto" w:fill="FFFFFF"/>
            <w:tcMar>
              <w:top w:w="80" w:type="dxa"/>
              <w:left w:w="85" w:type="dxa"/>
              <w:bottom w:w="80" w:type="dxa"/>
              <w:right w:w="85" w:type="dxa"/>
            </w:tcMar>
            <w:vAlign w:val="center"/>
          </w:tcPr>
          <w:p w14:paraId="0A1D73AA" w14:textId="77777777" w:rsidR="00D84A52" w:rsidRDefault="00000000">
            <w:pPr>
              <w:keepNext/>
              <w:keepLines/>
              <w:spacing w:after="20" w:line="240" w:lineRule="auto"/>
              <w:jc w:val="right"/>
            </w:pPr>
            <m:oMathPara>
              <m:oMath>
                <m:r>
                  <w:rPr>
                    <w:rFonts w:ascii="Cambria Math" w:hAnsi="Cambria Math"/>
                  </w:rPr>
                  <m:t>0.484</m:t>
                </m:r>
                <m:r>
                  <m:rPr>
                    <m:sty m:val="p"/>
                  </m:rPr>
                  <w:rPr>
                    <w:rFonts w:ascii="Cambria Math" w:hAnsi="Cambria Math"/>
                  </w:rPr>
                  <m:t>±</m:t>
                </m:r>
                <m:r>
                  <w:rPr>
                    <w:rFonts w:ascii="Cambria Math" w:hAnsi="Cambria Math"/>
                  </w:rPr>
                  <m:t>0.050</m:t>
                </m:r>
              </m:oMath>
            </m:oMathPara>
          </w:p>
        </w:tc>
      </w:tr>
      <w:tr w:rsidR="00D84A52" w14:paraId="1208010E" w14:textId="77777777">
        <w:trPr>
          <w:cantSplit/>
          <w:jc w:val="center"/>
        </w:trPr>
        <w:tc>
          <w:tcPr>
            <w:tcW w:w="4608" w:type="dxa"/>
            <w:shd w:val="clear" w:color="auto" w:fill="FFFFFF"/>
            <w:tcMar>
              <w:top w:w="80" w:type="dxa"/>
              <w:left w:w="85" w:type="dxa"/>
              <w:bottom w:w="80" w:type="dxa"/>
              <w:right w:w="85" w:type="dxa"/>
            </w:tcMar>
            <w:vAlign w:val="center"/>
          </w:tcPr>
          <w:p w14:paraId="20C4DB28" w14:textId="77777777" w:rsidR="00D84A52" w:rsidRDefault="00000000">
            <w:pPr>
              <w:keepNext/>
              <w:keepLines/>
              <w:spacing w:after="20" w:line="240" w:lineRule="auto"/>
              <w:jc w:val="left"/>
            </w:pPr>
            <w:r>
              <w:rPr>
                <w:sz w:val="20"/>
              </w:rPr>
              <w:t>Chebyshev with frozen scales</w:t>
            </w:r>
          </w:p>
        </w:tc>
        <w:tc>
          <w:tcPr>
            <w:tcW w:w="2664" w:type="dxa"/>
            <w:shd w:val="clear" w:color="auto" w:fill="FFFFFF"/>
            <w:tcMar>
              <w:top w:w="80" w:type="dxa"/>
              <w:left w:w="85" w:type="dxa"/>
              <w:bottom w:w="80" w:type="dxa"/>
              <w:right w:w="85" w:type="dxa"/>
            </w:tcMar>
            <w:vAlign w:val="center"/>
          </w:tcPr>
          <w:p w14:paraId="3B185F6E" w14:textId="77777777" w:rsidR="00D84A52" w:rsidRDefault="00000000">
            <w:pPr>
              <w:keepNext/>
              <w:keepLines/>
              <w:spacing w:after="20" w:line="240" w:lineRule="auto"/>
              <w:jc w:val="right"/>
            </w:pPr>
            <m:oMathPara>
              <m:oMath>
                <m:r>
                  <w:rPr>
                    <w:rFonts w:ascii="Cambria Math" w:hAnsi="Cambria Math"/>
                  </w:rPr>
                  <m:t>0.102</m:t>
                </m:r>
                <m:r>
                  <m:rPr>
                    <m:sty m:val="p"/>
                  </m:rPr>
                  <w:rPr>
                    <w:rFonts w:ascii="Cambria Math" w:hAnsi="Cambria Math"/>
                  </w:rPr>
                  <m:t>±</m:t>
                </m:r>
                <m:r>
                  <w:rPr>
                    <w:rFonts w:ascii="Cambria Math" w:hAnsi="Cambria Math"/>
                  </w:rPr>
                  <m:t>0.003</m:t>
                </m:r>
              </m:oMath>
            </m:oMathPara>
          </w:p>
        </w:tc>
        <w:tc>
          <w:tcPr>
            <w:tcW w:w="2664" w:type="dxa"/>
            <w:shd w:val="clear" w:color="auto" w:fill="FFFFFF"/>
            <w:tcMar>
              <w:top w:w="80" w:type="dxa"/>
              <w:left w:w="85" w:type="dxa"/>
              <w:bottom w:w="80" w:type="dxa"/>
              <w:right w:w="85" w:type="dxa"/>
            </w:tcMar>
            <w:vAlign w:val="center"/>
          </w:tcPr>
          <w:p w14:paraId="3111C6E5" w14:textId="77777777" w:rsidR="00D84A52" w:rsidRDefault="00000000">
            <w:pPr>
              <w:keepNext/>
              <w:keepLines/>
              <w:spacing w:after="20" w:line="240" w:lineRule="auto"/>
              <w:jc w:val="right"/>
            </w:pPr>
            <m:oMathPara>
              <m:oMath>
                <m:r>
                  <w:rPr>
                    <w:rFonts w:ascii="Cambria Math" w:hAnsi="Cambria Math"/>
                  </w:rPr>
                  <m:t>0.118</m:t>
                </m:r>
                <m:r>
                  <m:rPr>
                    <m:sty m:val="p"/>
                  </m:rPr>
                  <w:rPr>
                    <w:rFonts w:ascii="Cambria Math" w:hAnsi="Cambria Math"/>
                  </w:rPr>
                  <m:t>±</m:t>
                </m:r>
                <m:r>
                  <w:rPr>
                    <w:rFonts w:ascii="Cambria Math" w:hAnsi="Cambria Math"/>
                  </w:rPr>
                  <m:t>0.007</m:t>
                </m:r>
              </m:oMath>
            </m:oMathPara>
          </w:p>
        </w:tc>
      </w:tr>
      <w:tr w:rsidR="00D84A52" w14:paraId="36F5C027" w14:textId="77777777">
        <w:trPr>
          <w:cantSplit/>
          <w:jc w:val="center"/>
        </w:trPr>
        <w:tc>
          <w:tcPr>
            <w:tcW w:w="4608" w:type="dxa"/>
            <w:shd w:val="clear" w:color="auto" w:fill="FFFFFF"/>
            <w:tcMar>
              <w:top w:w="80" w:type="dxa"/>
              <w:left w:w="85" w:type="dxa"/>
              <w:bottom w:w="80" w:type="dxa"/>
              <w:right w:w="85" w:type="dxa"/>
            </w:tcMar>
            <w:vAlign w:val="center"/>
          </w:tcPr>
          <w:p w14:paraId="581D42F6" w14:textId="77777777" w:rsidR="00D84A52" w:rsidRDefault="00000000">
            <w:pPr>
              <w:keepNext/>
              <w:keepLines/>
              <w:spacing w:after="20" w:line="240" w:lineRule="auto"/>
              <w:jc w:val="left"/>
            </w:pPr>
            <w:r>
              <w:rPr>
                <w:sz w:val="20"/>
              </w:rPr>
              <w:t>Early fusion with frozen scales</w:t>
            </w:r>
          </w:p>
        </w:tc>
        <w:tc>
          <w:tcPr>
            <w:tcW w:w="2664" w:type="dxa"/>
            <w:shd w:val="clear" w:color="auto" w:fill="FFFFFF"/>
            <w:tcMar>
              <w:top w:w="80" w:type="dxa"/>
              <w:left w:w="85" w:type="dxa"/>
              <w:bottom w:w="80" w:type="dxa"/>
              <w:right w:w="85" w:type="dxa"/>
            </w:tcMar>
            <w:vAlign w:val="center"/>
          </w:tcPr>
          <w:p w14:paraId="759EBF24" w14:textId="77777777" w:rsidR="00D84A52" w:rsidRDefault="00000000">
            <w:pPr>
              <w:keepNext/>
              <w:keepLines/>
              <w:spacing w:after="20" w:line="240" w:lineRule="auto"/>
              <w:jc w:val="right"/>
            </w:pPr>
            <m:oMathPara>
              <m:oMath>
                <m:r>
                  <w:rPr>
                    <w:rFonts w:ascii="Cambria Math" w:hAnsi="Cambria Math"/>
                  </w:rPr>
                  <m:t>0.092</m:t>
                </m:r>
                <m:r>
                  <m:rPr>
                    <m:sty m:val="p"/>
                  </m:rPr>
                  <w:rPr>
                    <w:rFonts w:ascii="Cambria Math" w:hAnsi="Cambria Math"/>
                  </w:rPr>
                  <m:t>±</m:t>
                </m:r>
                <m:r>
                  <w:rPr>
                    <w:rFonts w:ascii="Cambria Math" w:hAnsi="Cambria Math"/>
                  </w:rPr>
                  <m:t>0.008</m:t>
                </m:r>
              </m:oMath>
            </m:oMathPara>
          </w:p>
        </w:tc>
        <w:tc>
          <w:tcPr>
            <w:tcW w:w="2664" w:type="dxa"/>
            <w:shd w:val="clear" w:color="auto" w:fill="FFFFFF"/>
            <w:tcMar>
              <w:top w:w="80" w:type="dxa"/>
              <w:left w:w="85" w:type="dxa"/>
              <w:bottom w:w="80" w:type="dxa"/>
              <w:right w:w="85" w:type="dxa"/>
            </w:tcMar>
            <w:vAlign w:val="center"/>
          </w:tcPr>
          <w:p w14:paraId="6617B7DE" w14:textId="77777777" w:rsidR="00D84A52" w:rsidRDefault="00000000">
            <w:pPr>
              <w:keepNext/>
              <w:keepLines/>
              <w:spacing w:after="20" w:line="240" w:lineRule="auto"/>
              <w:jc w:val="right"/>
            </w:pPr>
            <m:oMathPara>
              <m:oMath>
                <m:r>
                  <w:rPr>
                    <w:rFonts w:ascii="Cambria Math" w:hAnsi="Cambria Math"/>
                  </w:rPr>
                  <m:t>0.126</m:t>
                </m:r>
                <m:r>
                  <m:rPr>
                    <m:sty m:val="p"/>
                  </m:rPr>
                  <w:rPr>
                    <w:rFonts w:ascii="Cambria Math" w:hAnsi="Cambria Math"/>
                  </w:rPr>
                  <m:t>±</m:t>
                </m:r>
                <m:r>
                  <w:rPr>
                    <w:rFonts w:ascii="Cambria Math" w:hAnsi="Cambria Math"/>
                  </w:rPr>
                  <m:t>0.010</m:t>
                </m:r>
              </m:oMath>
            </m:oMathPara>
          </w:p>
        </w:tc>
      </w:tr>
      <w:tr w:rsidR="00D84A52" w14:paraId="51EA0326" w14:textId="77777777">
        <w:trPr>
          <w:cantSplit/>
          <w:jc w:val="center"/>
        </w:trPr>
        <w:tc>
          <w:tcPr>
            <w:tcW w:w="4608" w:type="dxa"/>
            <w:shd w:val="clear" w:color="auto" w:fill="FFFFFF"/>
            <w:tcMar>
              <w:top w:w="80" w:type="dxa"/>
              <w:left w:w="85" w:type="dxa"/>
              <w:bottom w:w="80" w:type="dxa"/>
              <w:right w:w="85" w:type="dxa"/>
            </w:tcMar>
            <w:vAlign w:val="center"/>
          </w:tcPr>
          <w:p w14:paraId="0CD95F5A" w14:textId="77777777" w:rsidR="00D84A52" w:rsidRDefault="00000000">
            <w:pPr>
              <w:keepNext/>
              <w:keepLines/>
              <w:spacing w:after="20" w:line="240" w:lineRule="auto"/>
              <w:jc w:val="left"/>
            </w:pPr>
            <w:r>
              <w:rPr>
                <w:sz w:val="20"/>
              </w:rPr>
              <w:t>Dominance rank</w:t>
            </w:r>
          </w:p>
        </w:tc>
        <w:tc>
          <w:tcPr>
            <w:tcW w:w="2664" w:type="dxa"/>
            <w:shd w:val="clear" w:color="auto" w:fill="FFFFFF"/>
            <w:tcMar>
              <w:top w:w="80" w:type="dxa"/>
              <w:left w:w="85" w:type="dxa"/>
              <w:bottom w:w="80" w:type="dxa"/>
              <w:right w:w="85" w:type="dxa"/>
            </w:tcMar>
            <w:vAlign w:val="center"/>
          </w:tcPr>
          <w:p w14:paraId="0A2BC89B" w14:textId="77777777" w:rsidR="00D84A52" w:rsidRDefault="00000000">
            <w:pPr>
              <w:keepNext/>
              <w:keepLines/>
              <w:spacing w:after="20" w:line="240" w:lineRule="auto"/>
              <w:jc w:val="right"/>
            </w:pPr>
            <m:oMathPara>
              <m:oMath>
                <m:r>
                  <w:rPr>
                    <w:rFonts w:ascii="Cambria Math" w:hAnsi="Cambria Math"/>
                  </w:rPr>
                  <m:t>0.119</m:t>
                </m:r>
                <m:r>
                  <m:rPr>
                    <m:sty m:val="p"/>
                  </m:rPr>
                  <w:rPr>
                    <w:rFonts w:ascii="Cambria Math" w:hAnsi="Cambria Math"/>
                  </w:rPr>
                  <m:t>±</m:t>
                </m:r>
                <m:r>
                  <w:rPr>
                    <w:rFonts w:ascii="Cambria Math" w:hAnsi="Cambria Math"/>
                  </w:rPr>
                  <m:t>0.012</m:t>
                </m:r>
              </m:oMath>
            </m:oMathPara>
          </w:p>
        </w:tc>
        <w:tc>
          <w:tcPr>
            <w:tcW w:w="2664" w:type="dxa"/>
            <w:shd w:val="clear" w:color="auto" w:fill="FFFFFF"/>
            <w:tcMar>
              <w:top w:w="80" w:type="dxa"/>
              <w:left w:w="85" w:type="dxa"/>
              <w:bottom w:w="80" w:type="dxa"/>
              <w:right w:w="85" w:type="dxa"/>
            </w:tcMar>
            <w:vAlign w:val="center"/>
          </w:tcPr>
          <w:p w14:paraId="4CBB8BAB" w14:textId="77777777" w:rsidR="00D84A52" w:rsidRDefault="00000000">
            <w:pPr>
              <w:keepNext/>
              <w:keepLines/>
              <w:spacing w:after="20" w:line="240" w:lineRule="auto"/>
              <w:jc w:val="right"/>
            </w:pPr>
            <m:oMathPara>
              <m:oMath>
                <m:r>
                  <w:rPr>
                    <w:rFonts w:ascii="Cambria Math" w:hAnsi="Cambria Math"/>
                  </w:rPr>
                  <m:t>0.250</m:t>
                </m:r>
                <m:r>
                  <m:rPr>
                    <m:sty m:val="p"/>
                  </m:rPr>
                  <w:rPr>
                    <w:rFonts w:ascii="Cambria Math" w:hAnsi="Cambria Math"/>
                  </w:rPr>
                  <m:t>±</m:t>
                </m:r>
                <m:r>
                  <w:rPr>
                    <w:rFonts w:ascii="Cambria Math" w:hAnsi="Cambria Math"/>
                  </w:rPr>
                  <m:t>0.036</m:t>
                </m:r>
              </m:oMath>
            </m:oMathPara>
          </w:p>
        </w:tc>
      </w:tr>
      <w:tr w:rsidR="00D84A52" w14:paraId="52B5F3B7" w14:textId="77777777">
        <w:trPr>
          <w:cantSplit/>
          <w:jc w:val="center"/>
        </w:trPr>
        <w:tc>
          <w:tcPr>
            <w:tcW w:w="4608" w:type="dxa"/>
            <w:shd w:val="clear" w:color="auto" w:fill="FFFFFF"/>
            <w:tcMar>
              <w:top w:w="80" w:type="dxa"/>
              <w:left w:w="85" w:type="dxa"/>
              <w:bottom w:w="80" w:type="dxa"/>
              <w:right w:w="85" w:type="dxa"/>
            </w:tcMar>
            <w:vAlign w:val="center"/>
          </w:tcPr>
          <w:p w14:paraId="1987B574" w14:textId="77777777" w:rsidR="00D84A52" w:rsidRDefault="00000000">
            <w:pPr>
              <w:keepNext/>
              <w:keepLines/>
              <w:spacing w:after="20" w:line="240" w:lineRule="auto"/>
              <w:jc w:val="left"/>
            </w:pPr>
            <w:r>
              <w:rPr>
                <w:sz w:val="20"/>
              </w:rPr>
              <w:t>Reimplemented NSGA-II</w:t>
            </w:r>
          </w:p>
        </w:tc>
        <w:tc>
          <w:tcPr>
            <w:tcW w:w="2664" w:type="dxa"/>
            <w:shd w:val="clear" w:color="auto" w:fill="FFFFFF"/>
            <w:tcMar>
              <w:top w:w="80" w:type="dxa"/>
              <w:left w:w="85" w:type="dxa"/>
              <w:bottom w:w="80" w:type="dxa"/>
              <w:right w:w="85" w:type="dxa"/>
            </w:tcMar>
            <w:vAlign w:val="center"/>
          </w:tcPr>
          <w:p w14:paraId="0648E528" w14:textId="77777777" w:rsidR="00D84A52" w:rsidRDefault="00000000">
            <w:pPr>
              <w:keepNext/>
              <w:keepLines/>
              <w:spacing w:after="20" w:line="240" w:lineRule="auto"/>
              <w:jc w:val="right"/>
            </w:pPr>
            <m:oMathPara>
              <m:oMath>
                <m:r>
                  <w:rPr>
                    <w:rFonts w:ascii="Cambria Math" w:hAnsi="Cambria Math"/>
                  </w:rPr>
                  <m:t>0.225</m:t>
                </m:r>
                <m:r>
                  <m:rPr>
                    <m:sty m:val="p"/>
                  </m:rPr>
                  <w:rPr>
                    <w:rFonts w:ascii="Cambria Math" w:hAnsi="Cambria Math"/>
                  </w:rPr>
                  <m:t>±</m:t>
                </m:r>
                <m:r>
                  <w:rPr>
                    <w:rFonts w:ascii="Cambria Math" w:hAnsi="Cambria Math"/>
                  </w:rPr>
                  <m:t>0.036</m:t>
                </m:r>
              </m:oMath>
            </m:oMathPara>
          </w:p>
        </w:tc>
        <w:tc>
          <w:tcPr>
            <w:tcW w:w="2664" w:type="dxa"/>
            <w:shd w:val="clear" w:color="auto" w:fill="FFFFFF"/>
            <w:tcMar>
              <w:top w:w="80" w:type="dxa"/>
              <w:left w:w="85" w:type="dxa"/>
              <w:bottom w:w="80" w:type="dxa"/>
              <w:right w:w="85" w:type="dxa"/>
            </w:tcMar>
            <w:vAlign w:val="center"/>
          </w:tcPr>
          <w:p w14:paraId="358BE3FB" w14:textId="77777777" w:rsidR="00D84A52" w:rsidRDefault="00000000">
            <w:pPr>
              <w:keepNext/>
              <w:keepLines/>
              <w:spacing w:after="20" w:line="240" w:lineRule="auto"/>
              <w:jc w:val="right"/>
            </w:pPr>
            <m:oMathPara>
              <m:oMath>
                <m:r>
                  <w:rPr>
                    <w:rFonts w:ascii="Cambria Math" w:hAnsi="Cambria Math"/>
                  </w:rPr>
                  <m:t>0.344</m:t>
                </m:r>
                <m:r>
                  <m:rPr>
                    <m:sty m:val="p"/>
                  </m:rPr>
                  <w:rPr>
                    <w:rFonts w:ascii="Cambria Math" w:hAnsi="Cambria Math"/>
                  </w:rPr>
                  <m:t>±</m:t>
                </m:r>
                <m:r>
                  <w:rPr>
                    <w:rFonts w:ascii="Cambria Math" w:hAnsi="Cambria Math"/>
                  </w:rPr>
                  <m:t>0.064</m:t>
                </m:r>
              </m:oMath>
            </m:oMathPara>
          </w:p>
        </w:tc>
      </w:tr>
      <w:tr w:rsidR="00D84A52" w14:paraId="251FFBA4" w14:textId="77777777">
        <w:trPr>
          <w:cantSplit/>
          <w:jc w:val="center"/>
        </w:trPr>
        <w:tc>
          <w:tcPr>
            <w:tcW w:w="4608" w:type="dxa"/>
            <w:shd w:val="clear" w:color="auto" w:fill="FFFFFF"/>
            <w:tcMar>
              <w:top w:w="80" w:type="dxa"/>
              <w:left w:w="85" w:type="dxa"/>
              <w:bottom w:w="80" w:type="dxa"/>
              <w:right w:w="85" w:type="dxa"/>
            </w:tcMar>
            <w:vAlign w:val="center"/>
          </w:tcPr>
          <w:p w14:paraId="2953A406" w14:textId="77777777" w:rsidR="00D84A52" w:rsidRDefault="00000000">
            <w:pPr>
              <w:keepLines/>
              <w:spacing w:after="20" w:line="240" w:lineRule="auto"/>
              <w:jc w:val="left"/>
            </w:pPr>
            <w:r>
              <w:rPr>
                <w:sz w:val="20"/>
              </w:rPr>
              <w:t>Random search</w:t>
            </w:r>
          </w:p>
        </w:tc>
        <w:tc>
          <w:tcPr>
            <w:tcW w:w="2664" w:type="dxa"/>
            <w:shd w:val="clear" w:color="auto" w:fill="FFFFFF"/>
            <w:tcMar>
              <w:top w:w="80" w:type="dxa"/>
              <w:left w:w="85" w:type="dxa"/>
              <w:bottom w:w="80" w:type="dxa"/>
              <w:right w:w="85" w:type="dxa"/>
            </w:tcMar>
            <w:vAlign w:val="center"/>
          </w:tcPr>
          <w:p w14:paraId="08C84D47" w14:textId="77777777" w:rsidR="00D84A52" w:rsidRDefault="00000000">
            <w:pPr>
              <w:keepLines/>
              <w:spacing w:after="20" w:line="240" w:lineRule="auto"/>
              <w:jc w:val="right"/>
            </w:pPr>
            <m:oMathPara>
              <m:oMath>
                <m:r>
                  <w:rPr>
                    <w:rFonts w:ascii="Cambria Math" w:hAnsi="Cambria Math"/>
                  </w:rPr>
                  <m:t>0.290</m:t>
                </m:r>
                <m:r>
                  <m:rPr>
                    <m:sty m:val="p"/>
                  </m:rPr>
                  <w:rPr>
                    <w:rFonts w:ascii="Cambria Math" w:hAnsi="Cambria Math"/>
                  </w:rPr>
                  <m:t>±</m:t>
                </m:r>
                <m:r>
                  <w:rPr>
                    <w:rFonts w:ascii="Cambria Math" w:hAnsi="Cambria Math"/>
                  </w:rPr>
                  <m:t>0.013</m:t>
                </m:r>
              </m:oMath>
            </m:oMathPara>
          </w:p>
        </w:tc>
        <w:tc>
          <w:tcPr>
            <w:tcW w:w="2664" w:type="dxa"/>
            <w:shd w:val="clear" w:color="auto" w:fill="FFFFFF"/>
            <w:tcMar>
              <w:top w:w="80" w:type="dxa"/>
              <w:left w:w="85" w:type="dxa"/>
              <w:bottom w:w="80" w:type="dxa"/>
              <w:right w:w="85" w:type="dxa"/>
            </w:tcMar>
            <w:vAlign w:val="center"/>
          </w:tcPr>
          <w:p w14:paraId="07496122" w14:textId="77777777" w:rsidR="00D84A52" w:rsidRDefault="00000000">
            <w:pPr>
              <w:keepLines/>
              <w:spacing w:after="20" w:line="240" w:lineRule="auto"/>
              <w:jc w:val="right"/>
            </w:pPr>
            <m:oMathPara>
              <m:oMath>
                <m:r>
                  <w:rPr>
                    <w:rFonts w:ascii="Cambria Math" w:hAnsi="Cambria Math"/>
                  </w:rPr>
                  <m:t>0.485</m:t>
                </m:r>
                <m:r>
                  <m:rPr>
                    <m:sty m:val="p"/>
                  </m:rPr>
                  <w:rPr>
                    <w:rFonts w:ascii="Cambria Math" w:hAnsi="Cambria Math"/>
                  </w:rPr>
                  <m:t>±</m:t>
                </m:r>
                <m:r>
                  <w:rPr>
                    <w:rFonts w:ascii="Cambria Math" w:hAnsi="Cambria Math"/>
                  </w:rPr>
                  <m:t>0.026</m:t>
                </m:r>
              </m:oMath>
            </m:oMathPara>
          </w:p>
        </w:tc>
      </w:tr>
    </w:tbl>
    <w:p w14:paraId="57059573" w14:textId="77777777" w:rsidR="00D84A52" w:rsidRDefault="00000000">
      <w:pPr>
        <w:pStyle w:val="BodyText"/>
        <w:spacing w:before="140"/>
      </w:pPr>
      <w:r>
        <w:lastRenderedPageBreak/>
        <w:t xml:space="preserve">The frozen Chebyshev variant uses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and reference </w:t>
      </w:r>
      <m:oMath>
        <m:d>
          <m:dPr>
            <m:ctrlPr>
              <w:rPr>
                <w:rFonts w:ascii="Cambria Math" w:hAnsi="Cambria Math"/>
              </w:rPr>
            </m:ctrlPr>
          </m:dPr>
          <m:e>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0.05</m:t>
            </m:r>
          </m:e>
        </m:d>
      </m:oMath>
      <w:r>
        <w:t>. The gated late-fusion row retains moving min–max scales, so it should not be compared as if only its gate differs from a frozen-target method. NSGA-II was reimplemented and untuned for this budget. The table motivates calibration and controlled experiments; it does not establish general superiority of ADE over established multi-objective algorithms.</w:t>
      </w:r>
    </w:p>
    <w:p w14:paraId="0C433293" w14:textId="77777777" w:rsidR="00D84A52" w:rsidRDefault="00000000">
      <w:pPr>
        <w:pStyle w:val="BodyText"/>
      </w:pPr>
      <w:r>
        <w:t>The earlier schedule comparison reports dominance IGD of 0.172 and 0.367 with 71 fully evaluated candidates, versus 0.119 and 0.250 with 230 dyadically evaluated candidates. Those runs consume 1,186 and 1,200 evaluations respectively, according to (20). Output-only evaluation permits 1,150 candidates but reports worse search quality. This is evidence about that implementation and budget, not a theorem favoring one schedule.</w:t>
      </w:r>
    </w:p>
    <w:p w14:paraId="08F7E40F" w14:textId="77777777" w:rsidR="00D84A52" w:rsidRDefault="00000000">
      <w:pPr>
        <w:pStyle w:val="BodyText"/>
      </w:pPr>
      <w:r>
        <w:t xml:space="preserve">Earlier transfer summaries are also informative. At 400 target evaluations, a ZDT1-to-ZDT2 prompt reports IGD </w:t>
      </w:r>
      <m:oMath>
        <m:r>
          <w:rPr>
            <w:rFonts w:ascii="Cambria Math" w:hAnsi="Cambria Math"/>
          </w:rPr>
          <m:t>0.150</m:t>
        </m:r>
        <m:r>
          <m:rPr>
            <m:sty m:val="p"/>
          </m:rPr>
          <w:rPr>
            <w:rFonts w:ascii="Cambria Math" w:hAnsi="Cambria Math"/>
          </w:rPr>
          <m:t>±</m:t>
        </m:r>
        <m:r>
          <w:rPr>
            <w:rFonts w:ascii="Cambria Math" w:hAnsi="Cambria Math"/>
          </w:rPr>
          <m:t>0.017</m:t>
        </m:r>
      </m:oMath>
      <w:r>
        <w:t xml:space="preserve"> versus </w:t>
      </w:r>
      <m:oMath>
        <m:r>
          <w:rPr>
            <w:rFonts w:ascii="Cambria Math" w:hAnsi="Cambria Math"/>
          </w:rPr>
          <m:t>0.590</m:t>
        </m:r>
        <m:r>
          <m:rPr>
            <m:sty m:val="p"/>
          </m:rPr>
          <w:rPr>
            <w:rFonts w:ascii="Cambria Math" w:hAnsi="Cambria Math"/>
          </w:rPr>
          <m:t>±</m:t>
        </m:r>
        <m:r>
          <w:rPr>
            <w:rFonts w:ascii="Cambria Math" w:hAnsi="Cambria Math"/>
          </w:rPr>
          <m:t>0.076</m:t>
        </m:r>
      </m:oMath>
      <w:r>
        <w:t xml:space="preserve"> for a random prompt. For a shifted target with its active convergence variables centered at 0.7, the transferred prompt reports </w:t>
      </w:r>
      <m:oMath>
        <m:r>
          <w:rPr>
            <w:rFonts w:ascii="Cambria Math" w:hAnsi="Cambria Math"/>
          </w:rPr>
          <m:t>0.416</m:t>
        </m:r>
        <m:r>
          <m:rPr>
            <m:sty m:val="p"/>
          </m:rPr>
          <w:rPr>
            <w:rFonts w:ascii="Cambria Math" w:hAnsi="Cambria Math"/>
          </w:rPr>
          <m:t>±</m:t>
        </m:r>
        <m:r>
          <w:rPr>
            <w:rFonts w:ascii="Cambria Math" w:hAnsi="Cambria Math"/>
          </w:rPr>
          <m:t>0.063</m:t>
        </m:r>
      </m:oMath>
      <w:r>
        <w:t xml:space="preserve"> versus </w:t>
      </w:r>
      <m:oMath>
        <m:r>
          <w:rPr>
            <w:rFonts w:ascii="Cambria Math" w:hAnsi="Cambria Math"/>
          </w:rPr>
          <m:t>0.243</m:t>
        </m:r>
        <m:r>
          <m:rPr>
            <m:sty m:val="p"/>
          </m:rPr>
          <w:rPr>
            <w:rFonts w:ascii="Cambria Math" w:hAnsi="Cambria Math"/>
          </w:rPr>
          <m:t>±</m:t>
        </m:r>
        <m:r>
          <w:rPr>
            <w:rFonts w:ascii="Cambria Math" w:hAnsi="Cambria Math"/>
          </w:rPr>
          <m:t>0.031</m:t>
        </m:r>
      </m:oMath>
      <w:r>
        <w:t>. The latter illustrates why target coverage and re-evaluation matter. A common source family does not itself guarantee useful transfer.</w:t>
      </w:r>
    </w:p>
    <w:p w14:paraId="28F4BED6" w14:textId="77777777" w:rsidR="00147891" w:rsidRDefault="00000000">
      <w:pPr>
        <w:pStyle w:val="Heading2"/>
      </w:pPr>
      <w:r>
        <w:t>9.4 Reported interval computation in C sharp</w:t>
      </w:r>
    </w:p>
    <w:p w14:paraId="5049D1BC" w14:textId="77777777" w:rsidR="00147891" w:rsidRDefault="00000000">
      <w:pPr>
        <w:pStyle w:val="FirstParagraph"/>
      </w:pPr>
      <w:r>
        <w:t>V4 reports a compiled C sharp implementation with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This assumption alone does not establish the end-to-end obligations in Section 9.8. Floating-point values outside such enclosures are diagnostics. V4 reports symbolic statements checked with SymPy 1.14.0 and mpmath 1.3.0.</w:t>
      </w:r>
    </w:p>
    <w:p w14:paraId="3B0009C4" w14:textId="77777777" w:rsidR="00147891" w:rsidRDefault="00000000">
      <w:pPr>
        <w:pStyle w:val="BodyText"/>
      </w:pPr>
      <w:r>
        <w:t xml:space="preserve">The supplied SymPy output confirms the exact values behind the arithmetic in Sections 3–8. The scale example has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41</m:t>
            </m:r>
            <m:r>
              <m:rPr>
                <m:sty m:val="p"/>
              </m:rPr>
              <w:rPr>
                <w:rFonts w:ascii="Cambria Math" w:hAnsi="Cambria Math"/>
              </w:rPr>
              <m:t>/</m:t>
            </m:r>
            <m:r>
              <w:rPr>
                <w:rFonts w:ascii="Cambria Math" w:hAnsi="Cambria Math"/>
              </w:rPr>
              <m:t>46</m:t>
            </m:r>
            <m:r>
              <m:rPr>
                <m:sty m:val="p"/>
              </m:rPr>
              <w:rPr>
                <w:rFonts w:ascii="Cambria Math" w:hAnsi="Cambria Math"/>
              </w:rPr>
              <m:t>,</m:t>
            </m:r>
            <m:r>
              <w:rPr>
                <w:rFonts w:ascii="Cambria Math" w:hAnsi="Cambria Math"/>
              </w:rPr>
              <m:t> 5</m:t>
            </m:r>
            <m:r>
              <m:rPr>
                <m:sty m:val="p"/>
              </m:rPr>
              <w:rPr>
                <w:rFonts w:ascii="Cambria Math" w:hAnsi="Cambria Math"/>
              </w:rPr>
              <m:t>/</m:t>
            </m:r>
            <m:r>
              <w:rPr>
                <w:rFonts w:ascii="Cambria Math" w:hAnsi="Cambria Math"/>
              </w:rPr>
              <m:t>46</m:t>
            </m:r>
          </m:e>
        </m:d>
      </m:oMath>
      <w:r>
        <w:t xml:space="preserve"> and </w:t>
      </w:r>
      <m:oMath>
        <m:r>
          <w:rPr>
            <w:rFonts w:ascii="Cambria Math" w:hAnsi="Cambria Math"/>
          </w:rPr>
          <m:t>C</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41</m:t>
        </m:r>
      </m:oMath>
      <w:r>
        <w:t xml:space="preserve">. The six vectors of Section 5.1 have 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with rectangle sums 3 and 2. The finite check of (17) gives outside mass </w:t>
      </w:r>
      <m:oMath>
        <m:r>
          <w:rPr>
            <w:rFonts w:ascii="Cambria Math" w:hAnsi="Cambria Math"/>
          </w:rPr>
          <m:t>6.81004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against the bound </w:t>
      </w:r>
      <m:oMath>
        <m:r>
          <w:rPr>
            <w:rFonts w:ascii="Cambria Math" w:hAnsi="Cambria Math"/>
          </w:rPr>
          <m:t>2.27000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pruned IGD is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e>
        </m:rad>
        <m:r>
          <m:rPr>
            <m:sty m:val="p"/>
          </m:rPr>
          <w:rPr>
            <w:rFonts w:ascii="Cambria Math" w:hAnsi="Cambria Math"/>
          </w:rPr>
          <m:t>=</m:t>
        </m:r>
        <m:r>
          <w:rPr>
            <w:rFonts w:ascii="Cambria Math" w:hAnsi="Cambria Math"/>
          </w:rPr>
          <m:t>1.001249220</m:t>
        </m:r>
      </m:oMath>
      <w:r>
        <w:t xml:space="preserve">. Equation (20) gives 1,200, 1,186 and 1,200 evaluations for the three reported schedules. The cosine schedule satisfies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2T</m:t>
            </m:r>
          </m:e>
        </m:d>
      </m:oMath>
      <w:r>
        <w:t xml:space="preserve"> exactly. The payload formula gives 113 bytes, 135,600 bytes and 805.7 MB.</w:t>
      </w:r>
    </w:p>
    <w:p w14:paraId="0B837055" w14:textId="77777777" w:rsidR="00147891" w:rsidRDefault="00000000">
      <w:pPr>
        <w:pStyle w:val="BodyText"/>
      </w:pPr>
      <w:r>
        <w:t>For the mixture example of Section 9.1, V4 reports the following gate intervals after outward decimal display rounding: [0.283715471937568, 0.283715471937572] and [0.716284528062427, 0.716284528062433]. The gated mean is reported in [0.35002427071052, 0.35002427071054] and the fixed-gate mean in [−0.03510753810491, −0.03510753810490]. The supplied SymPy output also integrates the mixture numerator and denominator over the whole real line. These comparisons support the displayed precision, subject to the input-conversion, exponential and gate-tightening qualifications in Section 9.8.</w:t>
      </w:r>
    </w:p>
    <w:p w14:paraId="4C793556" w14:textId="77777777" w:rsidR="00147891" w:rsidRDefault="00000000">
      <w:pPr>
        <w:pStyle w:val="BodyText"/>
      </w:pPr>
      <w:r>
        <w:t xml:space="preserve">V4 interval branch and bound reports enclosures for the minimizers of the scalarizations on the concave front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with zero reference. A box is discarded when the lower endpoint of its scalar enclosure exceeds a verified upper bound on the minimum. The surviving boxes, of width at most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contain every minimizer.</w:t>
      </w:r>
    </w:p>
    <w:p w14:paraId="60FFF084" w14:textId="77777777" w:rsidR="00147891" w:rsidRDefault="00000000">
      <w:pPr>
        <w:pStyle w:val="Caption"/>
        <w:keepNext/>
      </w:pPr>
      <w:r>
        <w:lastRenderedPageBreak/>
        <w:t>Table 4. Outward V4 branch-and-bound outputs on the front (u, 1 − u²) with zero reference. Section 9.7 independently certifies the symbolic minimizers. The first three weight pairs are the inverse-gap preferences (4) for u = 1/4, 1/2 and 3/4.</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569"/>
        <w:gridCol w:w="1464"/>
        <w:gridCol w:w="837"/>
        <w:gridCol w:w="3347"/>
        <w:gridCol w:w="1883"/>
        <w:gridCol w:w="836"/>
      </w:tblGrid>
      <w:tr w:rsidR="00147891" w14:paraId="5892A80E" w14:textId="77777777">
        <w:trPr>
          <w:cantSplit/>
          <w:tblHeader/>
          <w:jc w:val="center"/>
        </w:trPr>
        <w:tc>
          <w:tcPr>
            <w:tcW w:w="1569" w:type="dxa"/>
            <w:shd w:val="clear" w:color="auto" w:fill="E8E8E8"/>
            <w:tcMar>
              <w:top w:w="80" w:type="dxa"/>
              <w:left w:w="85" w:type="dxa"/>
              <w:bottom w:w="80" w:type="dxa"/>
              <w:right w:w="85" w:type="dxa"/>
            </w:tcMar>
            <w:vAlign w:val="center"/>
          </w:tcPr>
          <w:p w14:paraId="55BAF4B5" w14:textId="77777777" w:rsidR="00147891" w:rsidRDefault="00000000">
            <w:pPr>
              <w:keepNext/>
              <w:keepLines/>
              <w:spacing w:after="20" w:line="240" w:lineRule="auto"/>
              <w:jc w:val="left"/>
            </w:pPr>
            <w:r>
              <w:rPr>
                <w:b/>
                <w:sz w:val="19"/>
              </w:rPr>
              <w:t>Scalarization</w:t>
            </w:r>
          </w:p>
        </w:tc>
        <w:tc>
          <w:tcPr>
            <w:tcW w:w="1464" w:type="dxa"/>
            <w:shd w:val="clear" w:color="auto" w:fill="E8E8E8"/>
            <w:tcMar>
              <w:top w:w="80" w:type="dxa"/>
              <w:left w:w="85" w:type="dxa"/>
              <w:bottom w:w="80" w:type="dxa"/>
              <w:right w:w="85" w:type="dxa"/>
            </w:tcMar>
            <w:vAlign w:val="center"/>
          </w:tcPr>
          <w:p w14:paraId="004AAE28" w14:textId="77777777" w:rsidR="00147891" w:rsidRDefault="00000000">
            <w:pPr>
              <w:keepNext/>
              <w:keepLines/>
              <w:spacing w:after="20" w:line="240" w:lineRule="auto"/>
              <w:jc w:val="right"/>
            </w:pPr>
            <w:r>
              <w:rPr>
                <w:b/>
                <w:sz w:val="19"/>
              </w:rPr>
              <w:t>Weights λ</w:t>
            </w:r>
          </w:p>
        </w:tc>
        <w:tc>
          <w:tcPr>
            <w:tcW w:w="837" w:type="dxa"/>
            <w:shd w:val="clear" w:color="auto" w:fill="E8E8E8"/>
            <w:tcMar>
              <w:top w:w="80" w:type="dxa"/>
              <w:left w:w="85" w:type="dxa"/>
              <w:bottom w:w="80" w:type="dxa"/>
              <w:right w:w="85" w:type="dxa"/>
            </w:tcMar>
            <w:vAlign w:val="center"/>
          </w:tcPr>
          <w:p w14:paraId="4C07E54F" w14:textId="77777777" w:rsidR="00147891" w:rsidRDefault="00000000">
            <w:pPr>
              <w:keepNext/>
              <w:keepLines/>
              <w:spacing w:after="20" w:line="240" w:lineRule="auto"/>
              <w:jc w:val="right"/>
            </w:pPr>
            <w:r>
              <w:rPr>
                <w:b/>
                <w:sz w:val="19"/>
              </w:rPr>
              <w:t>Scales</w:t>
            </w:r>
          </w:p>
        </w:tc>
        <w:tc>
          <w:tcPr>
            <w:tcW w:w="3347" w:type="dxa"/>
            <w:shd w:val="clear" w:color="auto" w:fill="E8E8E8"/>
            <w:tcMar>
              <w:top w:w="80" w:type="dxa"/>
              <w:left w:w="85" w:type="dxa"/>
              <w:bottom w:w="80" w:type="dxa"/>
              <w:right w:w="85" w:type="dxa"/>
            </w:tcMar>
            <w:vAlign w:val="center"/>
          </w:tcPr>
          <w:p w14:paraId="65F4EB0E" w14:textId="77777777" w:rsidR="00147891" w:rsidRDefault="00000000">
            <w:pPr>
              <w:spacing w:after="20" w:line="240" w:lineRule="auto"/>
            </w:pPr>
            <w:r>
              <w:rPr>
                <w:b/>
                <w:sz w:val="19"/>
              </w:rPr>
              <w:t>Outward source minimizer set</w:t>
            </w:r>
          </w:p>
        </w:tc>
        <w:tc>
          <w:tcPr>
            <w:tcW w:w="1883" w:type="dxa"/>
            <w:shd w:val="clear" w:color="auto" w:fill="E8E8E8"/>
            <w:tcMar>
              <w:top w:w="80" w:type="dxa"/>
              <w:left w:w="85" w:type="dxa"/>
              <w:bottom w:w="80" w:type="dxa"/>
              <w:right w:w="85" w:type="dxa"/>
            </w:tcMar>
            <w:vAlign w:val="center"/>
          </w:tcPr>
          <w:p w14:paraId="7FEA5AC3" w14:textId="77777777" w:rsidR="00147891" w:rsidRDefault="00000000">
            <w:pPr>
              <w:keepNext/>
              <w:keepLines/>
              <w:spacing w:after="20" w:line="240" w:lineRule="auto"/>
              <w:jc w:val="right"/>
            </w:pPr>
            <w:r>
              <w:rPr>
                <w:b/>
                <w:sz w:val="19"/>
              </w:rPr>
              <w:t>Exact minimizer</w:t>
            </w:r>
          </w:p>
        </w:tc>
        <w:tc>
          <w:tcPr>
            <w:tcW w:w="836" w:type="dxa"/>
            <w:shd w:val="clear" w:color="auto" w:fill="E8E8E8"/>
            <w:tcMar>
              <w:top w:w="80" w:type="dxa"/>
              <w:left w:w="85" w:type="dxa"/>
              <w:bottom w:w="80" w:type="dxa"/>
              <w:right w:w="85" w:type="dxa"/>
            </w:tcMar>
            <w:vAlign w:val="center"/>
          </w:tcPr>
          <w:p w14:paraId="5CA8F382" w14:textId="77777777" w:rsidR="00147891" w:rsidRDefault="00000000">
            <w:pPr>
              <w:keepNext/>
              <w:keepLines/>
              <w:spacing w:after="20" w:line="240" w:lineRule="auto"/>
              <w:jc w:val="right"/>
            </w:pPr>
            <w:r>
              <w:rPr>
                <w:b/>
                <w:sz w:val="19"/>
              </w:rPr>
              <w:t>Boxes</w:t>
            </w:r>
          </w:p>
        </w:tc>
      </w:tr>
      <w:tr w:rsidR="00147891" w14:paraId="076C4D80" w14:textId="77777777">
        <w:trPr>
          <w:cantSplit/>
          <w:jc w:val="center"/>
        </w:trPr>
        <w:tc>
          <w:tcPr>
            <w:tcW w:w="1569" w:type="dxa"/>
            <w:shd w:val="clear" w:color="auto" w:fill="FFFFFF"/>
            <w:tcMar>
              <w:top w:w="80" w:type="dxa"/>
              <w:left w:w="85" w:type="dxa"/>
              <w:bottom w:w="80" w:type="dxa"/>
              <w:right w:w="85" w:type="dxa"/>
            </w:tcMar>
            <w:vAlign w:val="center"/>
          </w:tcPr>
          <w:p w14:paraId="0D45F529" w14:textId="77777777" w:rsidR="00147891" w:rsidRDefault="00000000">
            <w:pPr>
              <w:keepNext/>
              <w:keepLines/>
              <w:spacing w:after="20" w:line="240" w:lineRule="auto"/>
              <w:jc w:val="left"/>
            </w:pPr>
            <w:r>
              <w:rPr>
                <w:sz w:val="19"/>
              </w:rPr>
              <w:t>Chebyshev</w:t>
            </w:r>
          </w:p>
        </w:tc>
        <w:tc>
          <w:tcPr>
            <w:tcW w:w="1464" w:type="dxa"/>
            <w:shd w:val="clear" w:color="auto" w:fill="FFFFFF"/>
            <w:tcMar>
              <w:top w:w="80" w:type="dxa"/>
              <w:left w:w="85" w:type="dxa"/>
              <w:bottom w:w="80" w:type="dxa"/>
              <w:right w:w="85" w:type="dxa"/>
            </w:tcMar>
            <w:vAlign w:val="center"/>
          </w:tcPr>
          <w:p w14:paraId="4FDAD1BA" w14:textId="77777777" w:rsidR="00147891" w:rsidRDefault="00000000">
            <w:pPr>
              <w:keepNext/>
              <w:keepLines/>
              <w:spacing w:after="20" w:line="240" w:lineRule="auto"/>
              <w:jc w:val="right"/>
            </w:pPr>
            <w:r>
              <w:rPr>
                <w:sz w:val="19"/>
              </w:rPr>
              <w:t>15/19, 4/19</w:t>
            </w:r>
          </w:p>
        </w:tc>
        <w:tc>
          <w:tcPr>
            <w:tcW w:w="837" w:type="dxa"/>
            <w:shd w:val="clear" w:color="auto" w:fill="FFFFFF"/>
            <w:tcMar>
              <w:top w:w="80" w:type="dxa"/>
              <w:left w:w="85" w:type="dxa"/>
              <w:bottom w:w="80" w:type="dxa"/>
              <w:right w:w="85" w:type="dxa"/>
            </w:tcMar>
            <w:vAlign w:val="center"/>
          </w:tcPr>
          <w:p w14:paraId="18ACB061"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33F72A9E" w14:textId="77777777" w:rsidR="00147891" w:rsidRDefault="00000000">
            <w:pPr>
              <w:spacing w:after="20" w:line="240" w:lineRule="auto"/>
            </w:pPr>
            <w:r>
              <w:rPr>
                <w:sz w:val="19"/>
              </w:rPr>
              <w:t>[0.249999999999, 0.250000000001]</w:t>
            </w:r>
          </w:p>
        </w:tc>
        <w:tc>
          <w:tcPr>
            <w:tcW w:w="1883" w:type="dxa"/>
            <w:shd w:val="clear" w:color="auto" w:fill="FFFFFF"/>
            <w:tcMar>
              <w:top w:w="80" w:type="dxa"/>
              <w:left w:w="85" w:type="dxa"/>
              <w:bottom w:w="80" w:type="dxa"/>
              <w:right w:w="85" w:type="dxa"/>
            </w:tcMar>
            <w:vAlign w:val="center"/>
          </w:tcPr>
          <w:p w14:paraId="2C2ABDC6" w14:textId="77777777" w:rsidR="00147891" w:rsidRDefault="00000000">
            <w:pPr>
              <w:keepNext/>
              <w:keepLines/>
              <w:spacing w:after="20" w:line="240" w:lineRule="auto"/>
              <w:jc w:val="right"/>
            </w:pPr>
            <w:r>
              <w:rPr>
                <w:sz w:val="19"/>
              </w:rPr>
              <w:t>1/4</w:t>
            </w:r>
          </w:p>
        </w:tc>
        <w:tc>
          <w:tcPr>
            <w:tcW w:w="836" w:type="dxa"/>
            <w:shd w:val="clear" w:color="auto" w:fill="FFFFFF"/>
            <w:tcMar>
              <w:top w:w="80" w:type="dxa"/>
              <w:left w:w="85" w:type="dxa"/>
              <w:bottom w:w="80" w:type="dxa"/>
              <w:right w:w="85" w:type="dxa"/>
            </w:tcMar>
            <w:vAlign w:val="center"/>
          </w:tcPr>
          <w:p w14:paraId="7EBF2E9E" w14:textId="77777777" w:rsidR="00147891" w:rsidRDefault="00000000">
            <w:pPr>
              <w:keepNext/>
              <w:keepLines/>
              <w:spacing w:after="20" w:line="240" w:lineRule="auto"/>
              <w:jc w:val="right"/>
            </w:pPr>
            <w:r>
              <w:rPr>
                <w:sz w:val="19"/>
              </w:rPr>
              <w:t>157</w:t>
            </w:r>
          </w:p>
        </w:tc>
      </w:tr>
      <w:tr w:rsidR="00147891" w14:paraId="63CCEAED" w14:textId="77777777">
        <w:trPr>
          <w:cantSplit/>
          <w:jc w:val="center"/>
        </w:trPr>
        <w:tc>
          <w:tcPr>
            <w:tcW w:w="1569" w:type="dxa"/>
            <w:shd w:val="clear" w:color="auto" w:fill="FFFFFF"/>
            <w:tcMar>
              <w:top w:w="80" w:type="dxa"/>
              <w:left w:w="85" w:type="dxa"/>
              <w:bottom w:w="80" w:type="dxa"/>
              <w:right w:w="85" w:type="dxa"/>
            </w:tcMar>
            <w:vAlign w:val="center"/>
          </w:tcPr>
          <w:p w14:paraId="60E5E2C4" w14:textId="77777777" w:rsidR="00147891" w:rsidRDefault="00000000">
            <w:pPr>
              <w:keepNext/>
              <w:keepLines/>
              <w:spacing w:after="20" w:line="240" w:lineRule="auto"/>
              <w:jc w:val="left"/>
            </w:pPr>
            <w:r>
              <w:rPr>
                <w:sz w:val="19"/>
              </w:rPr>
              <w:t>Weighted sum</w:t>
            </w:r>
          </w:p>
        </w:tc>
        <w:tc>
          <w:tcPr>
            <w:tcW w:w="1464" w:type="dxa"/>
            <w:shd w:val="clear" w:color="auto" w:fill="FFFFFF"/>
            <w:tcMar>
              <w:top w:w="80" w:type="dxa"/>
              <w:left w:w="85" w:type="dxa"/>
              <w:bottom w:w="80" w:type="dxa"/>
              <w:right w:w="85" w:type="dxa"/>
            </w:tcMar>
            <w:vAlign w:val="center"/>
          </w:tcPr>
          <w:p w14:paraId="6E396D0A" w14:textId="77777777" w:rsidR="00147891" w:rsidRDefault="00000000">
            <w:pPr>
              <w:keepNext/>
              <w:keepLines/>
              <w:spacing w:after="20" w:line="240" w:lineRule="auto"/>
              <w:jc w:val="right"/>
            </w:pPr>
            <w:r>
              <w:rPr>
                <w:sz w:val="19"/>
              </w:rPr>
              <w:t>15/19, 4/19</w:t>
            </w:r>
          </w:p>
        </w:tc>
        <w:tc>
          <w:tcPr>
            <w:tcW w:w="837" w:type="dxa"/>
            <w:shd w:val="clear" w:color="auto" w:fill="FFFFFF"/>
            <w:tcMar>
              <w:top w:w="80" w:type="dxa"/>
              <w:left w:w="85" w:type="dxa"/>
              <w:bottom w:w="80" w:type="dxa"/>
              <w:right w:w="85" w:type="dxa"/>
            </w:tcMar>
            <w:vAlign w:val="center"/>
          </w:tcPr>
          <w:p w14:paraId="2C1911CB"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58CC67A5" w14:textId="77777777" w:rsidR="00147891" w:rsidRDefault="00000000">
            <w:pPr>
              <w:keepNext/>
              <w:keepLines/>
              <w:spacing w:after="20" w:line="240" w:lineRule="auto"/>
              <w:jc w:val="right"/>
            </w:pPr>
            <w:r>
              <w:rPr>
                <w:sz w:val="19"/>
              </w:rPr>
              <w:t>Within 9.1 × 10⁻¹³ of u = 0</w:t>
            </w:r>
          </w:p>
        </w:tc>
        <w:tc>
          <w:tcPr>
            <w:tcW w:w="1883" w:type="dxa"/>
            <w:shd w:val="clear" w:color="auto" w:fill="FFFFFF"/>
            <w:tcMar>
              <w:top w:w="80" w:type="dxa"/>
              <w:left w:w="85" w:type="dxa"/>
              <w:bottom w:w="80" w:type="dxa"/>
              <w:right w:w="85" w:type="dxa"/>
            </w:tcMar>
            <w:vAlign w:val="center"/>
          </w:tcPr>
          <w:p w14:paraId="34B1090C" w14:textId="77777777" w:rsidR="00147891" w:rsidRDefault="00000000">
            <w:pPr>
              <w:keepNext/>
              <w:keepLines/>
              <w:spacing w:after="20" w:line="240" w:lineRule="auto"/>
              <w:jc w:val="right"/>
            </w:pPr>
            <w:r>
              <w:rPr>
                <w:sz w:val="19"/>
              </w:rPr>
              <w:t>0</w:t>
            </w:r>
          </w:p>
        </w:tc>
        <w:tc>
          <w:tcPr>
            <w:tcW w:w="836" w:type="dxa"/>
            <w:shd w:val="clear" w:color="auto" w:fill="FFFFFF"/>
            <w:tcMar>
              <w:top w:w="80" w:type="dxa"/>
              <w:left w:w="85" w:type="dxa"/>
              <w:bottom w:w="80" w:type="dxa"/>
              <w:right w:w="85" w:type="dxa"/>
            </w:tcMar>
            <w:vAlign w:val="center"/>
          </w:tcPr>
          <w:p w14:paraId="06B4DE9D" w14:textId="77777777" w:rsidR="00147891" w:rsidRDefault="00000000">
            <w:pPr>
              <w:keepNext/>
              <w:keepLines/>
              <w:spacing w:after="20" w:line="240" w:lineRule="auto"/>
              <w:jc w:val="right"/>
            </w:pPr>
            <w:r>
              <w:rPr>
                <w:sz w:val="19"/>
              </w:rPr>
              <w:t>81</w:t>
            </w:r>
          </w:p>
        </w:tc>
      </w:tr>
      <w:tr w:rsidR="00147891" w14:paraId="4109E977" w14:textId="77777777">
        <w:trPr>
          <w:cantSplit/>
          <w:jc w:val="center"/>
        </w:trPr>
        <w:tc>
          <w:tcPr>
            <w:tcW w:w="1569" w:type="dxa"/>
            <w:shd w:val="clear" w:color="auto" w:fill="FFFFFF"/>
            <w:tcMar>
              <w:top w:w="80" w:type="dxa"/>
              <w:left w:w="85" w:type="dxa"/>
              <w:bottom w:w="80" w:type="dxa"/>
              <w:right w:w="85" w:type="dxa"/>
            </w:tcMar>
            <w:vAlign w:val="center"/>
          </w:tcPr>
          <w:p w14:paraId="475D6149" w14:textId="77777777" w:rsidR="00147891" w:rsidRDefault="00000000">
            <w:pPr>
              <w:keepNext/>
              <w:keepLines/>
              <w:spacing w:after="20" w:line="240" w:lineRule="auto"/>
              <w:jc w:val="left"/>
            </w:pPr>
            <w:r>
              <w:rPr>
                <w:sz w:val="19"/>
              </w:rPr>
              <w:t>Chebyshev</w:t>
            </w:r>
          </w:p>
        </w:tc>
        <w:tc>
          <w:tcPr>
            <w:tcW w:w="1464" w:type="dxa"/>
            <w:shd w:val="clear" w:color="auto" w:fill="FFFFFF"/>
            <w:tcMar>
              <w:top w:w="80" w:type="dxa"/>
              <w:left w:w="85" w:type="dxa"/>
              <w:bottom w:w="80" w:type="dxa"/>
              <w:right w:w="85" w:type="dxa"/>
            </w:tcMar>
            <w:vAlign w:val="center"/>
          </w:tcPr>
          <w:p w14:paraId="646A0988" w14:textId="77777777" w:rsidR="00147891" w:rsidRDefault="00000000">
            <w:pPr>
              <w:keepNext/>
              <w:keepLines/>
              <w:spacing w:after="20" w:line="240" w:lineRule="auto"/>
              <w:jc w:val="right"/>
            </w:pPr>
            <w:r>
              <w:rPr>
                <w:sz w:val="19"/>
              </w:rPr>
              <w:t>3/5, 2/5</w:t>
            </w:r>
          </w:p>
        </w:tc>
        <w:tc>
          <w:tcPr>
            <w:tcW w:w="837" w:type="dxa"/>
            <w:shd w:val="clear" w:color="auto" w:fill="FFFFFF"/>
            <w:tcMar>
              <w:top w:w="80" w:type="dxa"/>
              <w:left w:w="85" w:type="dxa"/>
              <w:bottom w:w="80" w:type="dxa"/>
              <w:right w:w="85" w:type="dxa"/>
            </w:tcMar>
            <w:vAlign w:val="center"/>
          </w:tcPr>
          <w:p w14:paraId="52FC8258"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3C213EF0" w14:textId="77777777" w:rsidR="00147891" w:rsidRDefault="00000000">
            <w:pPr>
              <w:spacing w:after="20" w:line="240" w:lineRule="auto"/>
            </w:pPr>
            <w:r>
              <w:rPr>
                <w:sz w:val="19"/>
              </w:rPr>
              <w:t>[0.499999999999, 0.500000000001]</w:t>
            </w:r>
          </w:p>
        </w:tc>
        <w:tc>
          <w:tcPr>
            <w:tcW w:w="1883" w:type="dxa"/>
            <w:shd w:val="clear" w:color="auto" w:fill="FFFFFF"/>
            <w:tcMar>
              <w:top w:w="80" w:type="dxa"/>
              <w:left w:w="85" w:type="dxa"/>
              <w:bottom w:w="80" w:type="dxa"/>
              <w:right w:w="85" w:type="dxa"/>
            </w:tcMar>
            <w:vAlign w:val="center"/>
          </w:tcPr>
          <w:p w14:paraId="62785647" w14:textId="77777777" w:rsidR="00147891" w:rsidRDefault="00000000">
            <w:pPr>
              <w:keepNext/>
              <w:keepLines/>
              <w:spacing w:after="20" w:line="240" w:lineRule="auto"/>
              <w:jc w:val="right"/>
            </w:pPr>
            <w:r>
              <w:rPr>
                <w:sz w:val="19"/>
              </w:rPr>
              <w:t>1/2</w:t>
            </w:r>
          </w:p>
        </w:tc>
        <w:tc>
          <w:tcPr>
            <w:tcW w:w="836" w:type="dxa"/>
            <w:shd w:val="clear" w:color="auto" w:fill="FFFFFF"/>
            <w:tcMar>
              <w:top w:w="80" w:type="dxa"/>
              <w:left w:w="85" w:type="dxa"/>
              <w:bottom w:w="80" w:type="dxa"/>
              <w:right w:w="85" w:type="dxa"/>
            </w:tcMar>
            <w:vAlign w:val="center"/>
          </w:tcPr>
          <w:p w14:paraId="3D92BA82" w14:textId="77777777" w:rsidR="00147891" w:rsidRDefault="00000000">
            <w:pPr>
              <w:keepNext/>
              <w:keepLines/>
              <w:spacing w:after="20" w:line="240" w:lineRule="auto"/>
              <w:jc w:val="right"/>
            </w:pPr>
            <w:r>
              <w:rPr>
                <w:sz w:val="19"/>
              </w:rPr>
              <w:t>159</w:t>
            </w:r>
          </w:p>
        </w:tc>
      </w:tr>
      <w:tr w:rsidR="00147891" w14:paraId="633D3A86" w14:textId="77777777">
        <w:trPr>
          <w:cantSplit/>
          <w:jc w:val="center"/>
        </w:trPr>
        <w:tc>
          <w:tcPr>
            <w:tcW w:w="1569" w:type="dxa"/>
            <w:shd w:val="clear" w:color="auto" w:fill="FFFFFF"/>
            <w:tcMar>
              <w:top w:w="80" w:type="dxa"/>
              <w:left w:w="85" w:type="dxa"/>
              <w:bottom w:w="80" w:type="dxa"/>
              <w:right w:w="85" w:type="dxa"/>
            </w:tcMar>
            <w:vAlign w:val="center"/>
          </w:tcPr>
          <w:p w14:paraId="344E44B6" w14:textId="77777777" w:rsidR="00147891" w:rsidRDefault="00000000">
            <w:pPr>
              <w:keepNext/>
              <w:keepLines/>
              <w:spacing w:after="20" w:line="240" w:lineRule="auto"/>
              <w:jc w:val="left"/>
            </w:pPr>
            <w:r>
              <w:rPr>
                <w:sz w:val="19"/>
              </w:rPr>
              <w:t>Weighted sum</w:t>
            </w:r>
          </w:p>
        </w:tc>
        <w:tc>
          <w:tcPr>
            <w:tcW w:w="1464" w:type="dxa"/>
            <w:shd w:val="clear" w:color="auto" w:fill="FFFFFF"/>
            <w:tcMar>
              <w:top w:w="80" w:type="dxa"/>
              <w:left w:w="85" w:type="dxa"/>
              <w:bottom w:w="80" w:type="dxa"/>
              <w:right w:w="85" w:type="dxa"/>
            </w:tcMar>
            <w:vAlign w:val="center"/>
          </w:tcPr>
          <w:p w14:paraId="39AEC2B9" w14:textId="77777777" w:rsidR="00147891" w:rsidRDefault="00000000">
            <w:pPr>
              <w:keepNext/>
              <w:keepLines/>
              <w:spacing w:after="20" w:line="240" w:lineRule="auto"/>
              <w:jc w:val="right"/>
            </w:pPr>
            <w:r>
              <w:rPr>
                <w:sz w:val="19"/>
              </w:rPr>
              <w:t>3/5, 2/5</w:t>
            </w:r>
          </w:p>
        </w:tc>
        <w:tc>
          <w:tcPr>
            <w:tcW w:w="837" w:type="dxa"/>
            <w:shd w:val="clear" w:color="auto" w:fill="FFFFFF"/>
            <w:tcMar>
              <w:top w:w="80" w:type="dxa"/>
              <w:left w:w="85" w:type="dxa"/>
              <w:bottom w:w="80" w:type="dxa"/>
              <w:right w:w="85" w:type="dxa"/>
            </w:tcMar>
            <w:vAlign w:val="center"/>
          </w:tcPr>
          <w:p w14:paraId="00710D6D"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0C1CB663" w14:textId="77777777" w:rsidR="00147891" w:rsidRDefault="00000000">
            <w:pPr>
              <w:keepNext/>
              <w:keepLines/>
              <w:spacing w:after="20" w:line="240" w:lineRule="auto"/>
              <w:jc w:val="right"/>
            </w:pPr>
            <w:r>
              <w:rPr>
                <w:sz w:val="19"/>
              </w:rPr>
              <w:t>Within 9.1 × 10⁻¹³ of u = 0</w:t>
            </w:r>
          </w:p>
        </w:tc>
        <w:tc>
          <w:tcPr>
            <w:tcW w:w="1883" w:type="dxa"/>
            <w:shd w:val="clear" w:color="auto" w:fill="FFFFFF"/>
            <w:tcMar>
              <w:top w:w="80" w:type="dxa"/>
              <w:left w:w="85" w:type="dxa"/>
              <w:bottom w:w="80" w:type="dxa"/>
              <w:right w:w="85" w:type="dxa"/>
            </w:tcMar>
            <w:vAlign w:val="center"/>
          </w:tcPr>
          <w:p w14:paraId="448DB8C0" w14:textId="77777777" w:rsidR="00147891" w:rsidRDefault="00000000">
            <w:pPr>
              <w:keepNext/>
              <w:keepLines/>
              <w:spacing w:after="20" w:line="240" w:lineRule="auto"/>
              <w:jc w:val="right"/>
            </w:pPr>
            <w:r>
              <w:rPr>
                <w:sz w:val="19"/>
              </w:rPr>
              <w:t>0</w:t>
            </w:r>
          </w:p>
        </w:tc>
        <w:tc>
          <w:tcPr>
            <w:tcW w:w="836" w:type="dxa"/>
            <w:shd w:val="clear" w:color="auto" w:fill="FFFFFF"/>
            <w:tcMar>
              <w:top w:w="80" w:type="dxa"/>
              <w:left w:w="85" w:type="dxa"/>
              <w:bottom w:w="80" w:type="dxa"/>
              <w:right w:w="85" w:type="dxa"/>
            </w:tcMar>
            <w:vAlign w:val="center"/>
          </w:tcPr>
          <w:p w14:paraId="0BF5795A" w14:textId="77777777" w:rsidR="00147891" w:rsidRDefault="00000000">
            <w:pPr>
              <w:keepNext/>
              <w:keepLines/>
              <w:spacing w:after="20" w:line="240" w:lineRule="auto"/>
              <w:jc w:val="right"/>
            </w:pPr>
            <w:r>
              <w:rPr>
                <w:sz w:val="19"/>
              </w:rPr>
              <w:t>83</w:t>
            </w:r>
          </w:p>
        </w:tc>
      </w:tr>
      <w:tr w:rsidR="00147891" w14:paraId="0EE330F9" w14:textId="77777777">
        <w:trPr>
          <w:cantSplit/>
          <w:jc w:val="center"/>
        </w:trPr>
        <w:tc>
          <w:tcPr>
            <w:tcW w:w="1569" w:type="dxa"/>
            <w:shd w:val="clear" w:color="auto" w:fill="FFFFFF"/>
            <w:tcMar>
              <w:top w:w="80" w:type="dxa"/>
              <w:left w:w="85" w:type="dxa"/>
              <w:bottom w:w="80" w:type="dxa"/>
              <w:right w:w="85" w:type="dxa"/>
            </w:tcMar>
            <w:vAlign w:val="center"/>
          </w:tcPr>
          <w:p w14:paraId="3EFB15CC" w14:textId="77777777" w:rsidR="00147891" w:rsidRDefault="00000000">
            <w:pPr>
              <w:keepNext/>
              <w:keepLines/>
              <w:spacing w:after="20" w:line="240" w:lineRule="auto"/>
              <w:jc w:val="left"/>
            </w:pPr>
            <w:r>
              <w:rPr>
                <w:sz w:val="19"/>
              </w:rPr>
              <w:t>Chebyshev</w:t>
            </w:r>
          </w:p>
        </w:tc>
        <w:tc>
          <w:tcPr>
            <w:tcW w:w="1464" w:type="dxa"/>
            <w:shd w:val="clear" w:color="auto" w:fill="FFFFFF"/>
            <w:tcMar>
              <w:top w:w="80" w:type="dxa"/>
              <w:left w:w="85" w:type="dxa"/>
              <w:bottom w:w="80" w:type="dxa"/>
              <w:right w:w="85" w:type="dxa"/>
            </w:tcMar>
            <w:vAlign w:val="center"/>
          </w:tcPr>
          <w:p w14:paraId="41801B43" w14:textId="77777777" w:rsidR="00147891" w:rsidRDefault="00000000">
            <w:pPr>
              <w:keepNext/>
              <w:keepLines/>
              <w:spacing w:after="20" w:line="240" w:lineRule="auto"/>
              <w:jc w:val="right"/>
            </w:pPr>
            <w:r>
              <w:rPr>
                <w:sz w:val="19"/>
              </w:rPr>
              <w:t>7/19, 12/19</w:t>
            </w:r>
          </w:p>
        </w:tc>
        <w:tc>
          <w:tcPr>
            <w:tcW w:w="837" w:type="dxa"/>
            <w:shd w:val="clear" w:color="auto" w:fill="FFFFFF"/>
            <w:tcMar>
              <w:top w:w="80" w:type="dxa"/>
              <w:left w:w="85" w:type="dxa"/>
              <w:bottom w:w="80" w:type="dxa"/>
              <w:right w:w="85" w:type="dxa"/>
            </w:tcMar>
            <w:vAlign w:val="center"/>
          </w:tcPr>
          <w:p w14:paraId="6AA29F3F"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7BC41FC8" w14:textId="77777777" w:rsidR="00147891" w:rsidRDefault="00000000">
            <w:pPr>
              <w:spacing w:after="20" w:line="240" w:lineRule="auto"/>
            </w:pPr>
            <w:r>
              <w:rPr>
                <w:sz w:val="19"/>
              </w:rPr>
              <w:t>[0.749999999999, 0.750000000001]</w:t>
            </w:r>
          </w:p>
        </w:tc>
        <w:tc>
          <w:tcPr>
            <w:tcW w:w="1883" w:type="dxa"/>
            <w:shd w:val="clear" w:color="auto" w:fill="FFFFFF"/>
            <w:tcMar>
              <w:top w:w="80" w:type="dxa"/>
              <w:left w:w="85" w:type="dxa"/>
              <w:bottom w:w="80" w:type="dxa"/>
              <w:right w:w="85" w:type="dxa"/>
            </w:tcMar>
            <w:vAlign w:val="center"/>
          </w:tcPr>
          <w:p w14:paraId="2E042B13" w14:textId="77777777" w:rsidR="00147891" w:rsidRDefault="00000000">
            <w:pPr>
              <w:keepNext/>
              <w:keepLines/>
              <w:spacing w:after="20" w:line="240" w:lineRule="auto"/>
              <w:jc w:val="right"/>
            </w:pPr>
            <w:r>
              <w:rPr>
                <w:sz w:val="19"/>
              </w:rPr>
              <w:t>3/4</w:t>
            </w:r>
          </w:p>
        </w:tc>
        <w:tc>
          <w:tcPr>
            <w:tcW w:w="836" w:type="dxa"/>
            <w:shd w:val="clear" w:color="auto" w:fill="FFFFFF"/>
            <w:tcMar>
              <w:top w:w="80" w:type="dxa"/>
              <w:left w:w="85" w:type="dxa"/>
              <w:bottom w:w="80" w:type="dxa"/>
              <w:right w:w="85" w:type="dxa"/>
            </w:tcMar>
            <w:vAlign w:val="center"/>
          </w:tcPr>
          <w:p w14:paraId="70F555A3" w14:textId="77777777" w:rsidR="00147891" w:rsidRDefault="00000000">
            <w:pPr>
              <w:keepNext/>
              <w:keepLines/>
              <w:spacing w:after="20" w:line="240" w:lineRule="auto"/>
              <w:jc w:val="right"/>
            </w:pPr>
            <w:r>
              <w:rPr>
                <w:sz w:val="19"/>
              </w:rPr>
              <w:t>157</w:t>
            </w:r>
          </w:p>
        </w:tc>
      </w:tr>
      <w:tr w:rsidR="00147891" w14:paraId="4B61AADD" w14:textId="77777777">
        <w:trPr>
          <w:cantSplit/>
          <w:jc w:val="center"/>
        </w:trPr>
        <w:tc>
          <w:tcPr>
            <w:tcW w:w="1569" w:type="dxa"/>
            <w:shd w:val="clear" w:color="auto" w:fill="FFFFFF"/>
            <w:tcMar>
              <w:top w:w="80" w:type="dxa"/>
              <w:left w:w="85" w:type="dxa"/>
              <w:bottom w:w="80" w:type="dxa"/>
              <w:right w:w="85" w:type="dxa"/>
            </w:tcMar>
            <w:vAlign w:val="center"/>
          </w:tcPr>
          <w:p w14:paraId="3CDA8385" w14:textId="77777777" w:rsidR="00147891" w:rsidRDefault="00000000">
            <w:pPr>
              <w:keepNext/>
              <w:keepLines/>
              <w:spacing w:after="20" w:line="240" w:lineRule="auto"/>
              <w:jc w:val="left"/>
            </w:pPr>
            <w:r>
              <w:rPr>
                <w:sz w:val="19"/>
              </w:rPr>
              <w:t>Weighted sum</w:t>
            </w:r>
          </w:p>
        </w:tc>
        <w:tc>
          <w:tcPr>
            <w:tcW w:w="1464" w:type="dxa"/>
            <w:shd w:val="clear" w:color="auto" w:fill="FFFFFF"/>
            <w:tcMar>
              <w:top w:w="80" w:type="dxa"/>
              <w:left w:w="85" w:type="dxa"/>
              <w:bottom w:w="80" w:type="dxa"/>
              <w:right w:w="85" w:type="dxa"/>
            </w:tcMar>
            <w:vAlign w:val="center"/>
          </w:tcPr>
          <w:p w14:paraId="25F44E99" w14:textId="77777777" w:rsidR="00147891" w:rsidRDefault="00000000">
            <w:pPr>
              <w:keepNext/>
              <w:keepLines/>
              <w:spacing w:after="20" w:line="240" w:lineRule="auto"/>
              <w:jc w:val="right"/>
            </w:pPr>
            <w:r>
              <w:rPr>
                <w:sz w:val="19"/>
              </w:rPr>
              <w:t>7/19, 12/19</w:t>
            </w:r>
          </w:p>
        </w:tc>
        <w:tc>
          <w:tcPr>
            <w:tcW w:w="837" w:type="dxa"/>
            <w:shd w:val="clear" w:color="auto" w:fill="FFFFFF"/>
            <w:tcMar>
              <w:top w:w="80" w:type="dxa"/>
              <w:left w:w="85" w:type="dxa"/>
              <w:bottom w:w="80" w:type="dxa"/>
              <w:right w:w="85" w:type="dxa"/>
            </w:tcMar>
            <w:vAlign w:val="center"/>
          </w:tcPr>
          <w:p w14:paraId="28780FC9"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21026172" w14:textId="77777777" w:rsidR="00147891" w:rsidRDefault="00000000">
            <w:pPr>
              <w:keepNext/>
              <w:keepLines/>
              <w:spacing w:after="20" w:line="240" w:lineRule="auto"/>
              <w:jc w:val="right"/>
            </w:pPr>
            <w:r>
              <w:rPr>
                <w:sz w:val="19"/>
              </w:rPr>
              <w:t>Within 9.1 × 10⁻¹³ of u = 1</w:t>
            </w:r>
          </w:p>
        </w:tc>
        <w:tc>
          <w:tcPr>
            <w:tcW w:w="1883" w:type="dxa"/>
            <w:shd w:val="clear" w:color="auto" w:fill="FFFFFF"/>
            <w:tcMar>
              <w:top w:w="80" w:type="dxa"/>
              <w:left w:w="85" w:type="dxa"/>
              <w:bottom w:w="80" w:type="dxa"/>
              <w:right w:w="85" w:type="dxa"/>
            </w:tcMar>
            <w:vAlign w:val="center"/>
          </w:tcPr>
          <w:p w14:paraId="73611A91" w14:textId="77777777" w:rsidR="00147891" w:rsidRDefault="00000000">
            <w:pPr>
              <w:keepNext/>
              <w:keepLines/>
              <w:spacing w:after="20" w:line="240" w:lineRule="auto"/>
              <w:jc w:val="right"/>
            </w:pPr>
            <w:r>
              <w:rPr>
                <w:sz w:val="19"/>
              </w:rPr>
              <w:t>1</w:t>
            </w:r>
          </w:p>
        </w:tc>
        <w:tc>
          <w:tcPr>
            <w:tcW w:w="836" w:type="dxa"/>
            <w:shd w:val="clear" w:color="auto" w:fill="FFFFFF"/>
            <w:tcMar>
              <w:top w:w="80" w:type="dxa"/>
              <w:left w:w="85" w:type="dxa"/>
              <w:bottom w:w="80" w:type="dxa"/>
              <w:right w:w="85" w:type="dxa"/>
            </w:tcMar>
            <w:vAlign w:val="center"/>
          </w:tcPr>
          <w:p w14:paraId="6F4529CE" w14:textId="77777777" w:rsidR="00147891" w:rsidRDefault="00000000">
            <w:pPr>
              <w:keepNext/>
              <w:keepLines/>
              <w:spacing w:after="20" w:line="240" w:lineRule="auto"/>
              <w:jc w:val="right"/>
            </w:pPr>
            <w:r>
              <w:rPr>
                <w:sz w:val="19"/>
              </w:rPr>
              <w:t>81</w:t>
            </w:r>
          </w:p>
        </w:tc>
      </w:tr>
      <w:tr w:rsidR="00147891" w14:paraId="5A842128" w14:textId="77777777">
        <w:trPr>
          <w:cantSplit/>
          <w:jc w:val="center"/>
        </w:trPr>
        <w:tc>
          <w:tcPr>
            <w:tcW w:w="1569" w:type="dxa"/>
            <w:shd w:val="clear" w:color="auto" w:fill="FFFFFF"/>
            <w:tcMar>
              <w:top w:w="80" w:type="dxa"/>
              <w:left w:w="85" w:type="dxa"/>
              <w:bottom w:w="80" w:type="dxa"/>
              <w:right w:w="85" w:type="dxa"/>
            </w:tcMar>
            <w:vAlign w:val="center"/>
          </w:tcPr>
          <w:p w14:paraId="7CE4B0D4" w14:textId="77777777" w:rsidR="00147891" w:rsidRDefault="00000000">
            <w:pPr>
              <w:keepNext/>
              <w:keepLines/>
              <w:spacing w:after="20" w:line="240" w:lineRule="auto"/>
              <w:jc w:val="left"/>
            </w:pPr>
            <w:r>
              <w:rPr>
                <w:sz w:val="19"/>
              </w:rPr>
              <w:t>Chebyshev</w:t>
            </w:r>
          </w:p>
        </w:tc>
        <w:tc>
          <w:tcPr>
            <w:tcW w:w="1464" w:type="dxa"/>
            <w:shd w:val="clear" w:color="auto" w:fill="FFFFFF"/>
            <w:tcMar>
              <w:top w:w="80" w:type="dxa"/>
              <w:left w:w="85" w:type="dxa"/>
              <w:bottom w:w="80" w:type="dxa"/>
              <w:right w:w="85" w:type="dxa"/>
            </w:tcMar>
            <w:vAlign w:val="center"/>
          </w:tcPr>
          <w:p w14:paraId="6C60BF55" w14:textId="77777777" w:rsidR="00147891" w:rsidRDefault="00000000">
            <w:pPr>
              <w:keepNext/>
              <w:keepLines/>
              <w:spacing w:after="20" w:line="240" w:lineRule="auto"/>
              <w:jc w:val="right"/>
            </w:pPr>
            <w:r>
              <w:rPr>
                <w:sz w:val="19"/>
              </w:rPr>
              <w:t>1/2, 1/2</w:t>
            </w:r>
          </w:p>
        </w:tc>
        <w:tc>
          <w:tcPr>
            <w:tcW w:w="837" w:type="dxa"/>
            <w:shd w:val="clear" w:color="auto" w:fill="FFFFFF"/>
            <w:tcMar>
              <w:top w:w="80" w:type="dxa"/>
              <w:left w:w="85" w:type="dxa"/>
              <w:bottom w:w="80" w:type="dxa"/>
              <w:right w:w="85" w:type="dxa"/>
            </w:tcMar>
            <w:vAlign w:val="center"/>
          </w:tcPr>
          <w:p w14:paraId="569905B5"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477CC4E6" w14:textId="77777777" w:rsidR="00147891" w:rsidRDefault="00000000">
            <w:pPr>
              <w:spacing w:after="20" w:line="240" w:lineRule="auto"/>
            </w:pPr>
            <w:r>
              <w:rPr>
                <w:sz w:val="19"/>
              </w:rPr>
              <w:t>[0.618033988749, 0.618033988751]</w:t>
            </w:r>
          </w:p>
        </w:tc>
        <w:tc>
          <w:tcPr>
            <w:tcW w:w="1883" w:type="dxa"/>
            <w:shd w:val="clear" w:color="auto" w:fill="FFFFFF"/>
            <w:tcMar>
              <w:top w:w="80" w:type="dxa"/>
              <w:left w:w="85" w:type="dxa"/>
              <w:bottom w:w="80" w:type="dxa"/>
              <w:right w:w="85" w:type="dxa"/>
            </w:tcMar>
            <w:vAlign w:val="center"/>
          </w:tcPr>
          <w:p w14:paraId="189A84B9" w14:textId="77777777" w:rsidR="00147891" w:rsidRDefault="00000000">
            <w:pPr>
              <w:keepNext/>
              <w:keepLines/>
              <w:spacing w:after="20" w:line="240" w:lineRule="auto"/>
              <w:jc w:val="right"/>
            </w:pPr>
            <w:r>
              <w:rPr>
                <w:sz w:val="19"/>
              </w:rPr>
              <w:t>(√5 − 1)/2</w:t>
            </w:r>
          </w:p>
        </w:tc>
        <w:tc>
          <w:tcPr>
            <w:tcW w:w="836" w:type="dxa"/>
            <w:shd w:val="clear" w:color="auto" w:fill="FFFFFF"/>
            <w:tcMar>
              <w:top w:w="80" w:type="dxa"/>
              <w:left w:w="85" w:type="dxa"/>
              <w:bottom w:w="80" w:type="dxa"/>
              <w:right w:w="85" w:type="dxa"/>
            </w:tcMar>
            <w:vAlign w:val="center"/>
          </w:tcPr>
          <w:p w14:paraId="7AE26686" w14:textId="77777777" w:rsidR="00147891" w:rsidRDefault="00000000">
            <w:pPr>
              <w:keepNext/>
              <w:keepLines/>
              <w:spacing w:after="20" w:line="240" w:lineRule="auto"/>
              <w:jc w:val="right"/>
            </w:pPr>
            <w:r>
              <w:rPr>
                <w:sz w:val="19"/>
              </w:rPr>
              <w:t>285</w:t>
            </w:r>
          </w:p>
        </w:tc>
      </w:tr>
      <w:tr w:rsidR="00147891" w14:paraId="756E8EEA" w14:textId="77777777">
        <w:trPr>
          <w:cantSplit/>
          <w:jc w:val="center"/>
        </w:trPr>
        <w:tc>
          <w:tcPr>
            <w:tcW w:w="1569" w:type="dxa"/>
            <w:shd w:val="clear" w:color="auto" w:fill="FFFFFF"/>
            <w:tcMar>
              <w:top w:w="80" w:type="dxa"/>
              <w:left w:w="85" w:type="dxa"/>
              <w:bottom w:w="80" w:type="dxa"/>
              <w:right w:w="85" w:type="dxa"/>
            </w:tcMar>
            <w:vAlign w:val="center"/>
          </w:tcPr>
          <w:p w14:paraId="19F8ECC0" w14:textId="77777777" w:rsidR="00147891" w:rsidRDefault="00000000">
            <w:pPr>
              <w:keepNext/>
              <w:keepLines/>
              <w:spacing w:after="20" w:line="240" w:lineRule="auto"/>
              <w:jc w:val="left"/>
            </w:pPr>
            <w:r>
              <w:rPr>
                <w:sz w:val="19"/>
              </w:rPr>
              <w:t>Chebyshev</w:t>
            </w:r>
          </w:p>
        </w:tc>
        <w:tc>
          <w:tcPr>
            <w:tcW w:w="1464" w:type="dxa"/>
            <w:shd w:val="clear" w:color="auto" w:fill="FFFFFF"/>
            <w:tcMar>
              <w:top w:w="80" w:type="dxa"/>
              <w:left w:w="85" w:type="dxa"/>
              <w:bottom w:w="80" w:type="dxa"/>
              <w:right w:w="85" w:type="dxa"/>
            </w:tcMar>
            <w:vAlign w:val="center"/>
          </w:tcPr>
          <w:p w14:paraId="7D9F46D5" w14:textId="77777777" w:rsidR="00147891" w:rsidRDefault="00000000">
            <w:pPr>
              <w:keepNext/>
              <w:keepLines/>
              <w:spacing w:after="20" w:line="240" w:lineRule="auto"/>
              <w:jc w:val="right"/>
            </w:pPr>
            <w:r>
              <w:rPr>
                <w:sz w:val="19"/>
              </w:rPr>
              <w:t>1/2, 1/2</w:t>
            </w:r>
          </w:p>
        </w:tc>
        <w:tc>
          <w:tcPr>
            <w:tcW w:w="837" w:type="dxa"/>
            <w:shd w:val="clear" w:color="auto" w:fill="FFFFFF"/>
            <w:tcMar>
              <w:top w:w="80" w:type="dxa"/>
              <w:left w:w="85" w:type="dxa"/>
              <w:bottom w:w="80" w:type="dxa"/>
              <w:right w:w="85" w:type="dxa"/>
            </w:tcMar>
            <w:vAlign w:val="center"/>
          </w:tcPr>
          <w:p w14:paraId="626D4559" w14:textId="77777777" w:rsidR="00147891" w:rsidRDefault="00000000">
            <w:pPr>
              <w:keepNext/>
              <w:keepLines/>
              <w:spacing w:after="20" w:line="240" w:lineRule="auto"/>
              <w:jc w:val="right"/>
            </w:pPr>
            <w:r>
              <w:rPr>
                <w:sz w:val="19"/>
              </w:rPr>
              <w:t>1, 8.2</w:t>
            </w:r>
          </w:p>
        </w:tc>
        <w:tc>
          <w:tcPr>
            <w:tcW w:w="3347" w:type="dxa"/>
            <w:shd w:val="clear" w:color="auto" w:fill="FFFFFF"/>
            <w:tcMar>
              <w:top w:w="80" w:type="dxa"/>
              <w:left w:w="85" w:type="dxa"/>
              <w:bottom w:w="80" w:type="dxa"/>
              <w:right w:w="85" w:type="dxa"/>
            </w:tcMar>
            <w:vAlign w:val="center"/>
          </w:tcPr>
          <w:p w14:paraId="150A5DCC" w14:textId="77777777" w:rsidR="00147891" w:rsidRDefault="00000000">
            <w:pPr>
              <w:spacing w:after="20" w:line="240" w:lineRule="auto"/>
            </w:pPr>
            <w:r>
              <w:rPr>
                <w:sz w:val="19"/>
              </w:rPr>
              <w:t>[0.120189569201, 0.120189569203]</w:t>
            </w:r>
          </w:p>
        </w:tc>
        <w:tc>
          <w:tcPr>
            <w:tcW w:w="1883" w:type="dxa"/>
            <w:shd w:val="clear" w:color="auto" w:fill="FFFFFF"/>
            <w:tcMar>
              <w:top w:w="80" w:type="dxa"/>
              <w:left w:w="85" w:type="dxa"/>
              <w:bottom w:w="80" w:type="dxa"/>
              <w:right w:w="85" w:type="dxa"/>
            </w:tcMar>
            <w:vAlign w:val="center"/>
          </w:tcPr>
          <w:p w14:paraId="49BD1541" w14:textId="77777777" w:rsidR="00147891" w:rsidRDefault="00000000">
            <w:pPr>
              <w:keepNext/>
              <w:keepLines/>
              <w:spacing w:after="20" w:line="240" w:lineRule="auto"/>
              <w:jc w:val="right"/>
            </w:pPr>
            <w:r>
              <w:rPr>
                <w:sz w:val="19"/>
              </w:rPr>
              <w:t>(√1781 − 41)/10</w:t>
            </w:r>
          </w:p>
        </w:tc>
        <w:tc>
          <w:tcPr>
            <w:tcW w:w="836" w:type="dxa"/>
            <w:shd w:val="clear" w:color="auto" w:fill="FFFFFF"/>
            <w:tcMar>
              <w:top w:w="80" w:type="dxa"/>
              <w:left w:w="85" w:type="dxa"/>
              <w:bottom w:w="80" w:type="dxa"/>
              <w:right w:w="85" w:type="dxa"/>
            </w:tcMar>
            <w:vAlign w:val="center"/>
          </w:tcPr>
          <w:p w14:paraId="75E536A7" w14:textId="77777777" w:rsidR="00147891" w:rsidRDefault="00000000">
            <w:pPr>
              <w:keepNext/>
              <w:keepLines/>
              <w:spacing w:after="20" w:line="240" w:lineRule="auto"/>
              <w:jc w:val="right"/>
            </w:pPr>
            <w:r>
              <w:rPr>
                <w:sz w:val="19"/>
              </w:rPr>
              <w:t>885</w:t>
            </w:r>
          </w:p>
        </w:tc>
      </w:tr>
      <w:tr w:rsidR="00147891" w14:paraId="1F2B449E" w14:textId="77777777">
        <w:trPr>
          <w:cantSplit/>
          <w:jc w:val="center"/>
        </w:trPr>
        <w:tc>
          <w:tcPr>
            <w:tcW w:w="1569" w:type="dxa"/>
            <w:shd w:val="clear" w:color="auto" w:fill="FFFFFF"/>
            <w:tcMar>
              <w:top w:w="80" w:type="dxa"/>
              <w:left w:w="85" w:type="dxa"/>
              <w:bottom w:w="80" w:type="dxa"/>
              <w:right w:w="85" w:type="dxa"/>
            </w:tcMar>
            <w:vAlign w:val="center"/>
          </w:tcPr>
          <w:p w14:paraId="2D6D96BA" w14:textId="77777777" w:rsidR="00147891" w:rsidRDefault="00000000">
            <w:pPr>
              <w:keepNext/>
              <w:keepLines/>
              <w:spacing w:after="20" w:line="240" w:lineRule="auto"/>
              <w:jc w:val="left"/>
            </w:pPr>
            <w:r>
              <w:rPr>
                <w:sz w:val="19"/>
              </w:rPr>
              <w:t>Weighted sum</w:t>
            </w:r>
          </w:p>
        </w:tc>
        <w:tc>
          <w:tcPr>
            <w:tcW w:w="1464" w:type="dxa"/>
            <w:shd w:val="clear" w:color="auto" w:fill="FFFFFF"/>
            <w:tcMar>
              <w:top w:w="80" w:type="dxa"/>
              <w:left w:w="85" w:type="dxa"/>
              <w:bottom w:w="80" w:type="dxa"/>
              <w:right w:w="85" w:type="dxa"/>
            </w:tcMar>
            <w:vAlign w:val="center"/>
          </w:tcPr>
          <w:p w14:paraId="603C30D0" w14:textId="77777777" w:rsidR="00147891" w:rsidRDefault="00000000">
            <w:pPr>
              <w:keepNext/>
              <w:keepLines/>
              <w:spacing w:after="20" w:line="240" w:lineRule="auto"/>
              <w:jc w:val="right"/>
            </w:pPr>
            <w:r>
              <w:rPr>
                <w:sz w:val="19"/>
              </w:rPr>
              <w:t>1/2, 1/2</w:t>
            </w:r>
          </w:p>
        </w:tc>
        <w:tc>
          <w:tcPr>
            <w:tcW w:w="837" w:type="dxa"/>
            <w:shd w:val="clear" w:color="auto" w:fill="FFFFFF"/>
            <w:tcMar>
              <w:top w:w="80" w:type="dxa"/>
              <w:left w:w="85" w:type="dxa"/>
              <w:bottom w:w="80" w:type="dxa"/>
              <w:right w:w="85" w:type="dxa"/>
            </w:tcMar>
            <w:vAlign w:val="center"/>
          </w:tcPr>
          <w:p w14:paraId="00299434" w14:textId="77777777" w:rsidR="00147891" w:rsidRDefault="00000000">
            <w:pPr>
              <w:keepNext/>
              <w:keepLines/>
              <w:spacing w:after="20" w:line="240" w:lineRule="auto"/>
              <w:jc w:val="right"/>
            </w:pPr>
            <w:r>
              <w:rPr>
                <w:sz w:val="19"/>
              </w:rPr>
              <w:t>1, 1</w:t>
            </w:r>
          </w:p>
        </w:tc>
        <w:tc>
          <w:tcPr>
            <w:tcW w:w="3347" w:type="dxa"/>
            <w:shd w:val="clear" w:color="auto" w:fill="FFFFFF"/>
            <w:tcMar>
              <w:top w:w="80" w:type="dxa"/>
              <w:left w:w="85" w:type="dxa"/>
              <w:bottom w:w="80" w:type="dxa"/>
              <w:right w:w="85" w:type="dxa"/>
            </w:tcMar>
            <w:vAlign w:val="center"/>
          </w:tcPr>
          <w:p w14:paraId="56272CF0" w14:textId="77777777" w:rsidR="00147891" w:rsidRDefault="00000000">
            <w:pPr>
              <w:spacing w:after="20" w:line="240" w:lineRule="auto"/>
            </w:pPr>
            <w:r>
              <w:rPr>
                <w:sz w:val="19"/>
              </w:rPr>
              <w:t>Within 1.9 × 10⁻¹² of both endpoints</w:t>
            </w:r>
          </w:p>
        </w:tc>
        <w:tc>
          <w:tcPr>
            <w:tcW w:w="1883" w:type="dxa"/>
            <w:shd w:val="clear" w:color="auto" w:fill="FFFFFF"/>
            <w:tcMar>
              <w:top w:w="80" w:type="dxa"/>
              <w:left w:w="85" w:type="dxa"/>
              <w:bottom w:w="80" w:type="dxa"/>
              <w:right w:w="85" w:type="dxa"/>
            </w:tcMar>
            <w:vAlign w:val="center"/>
          </w:tcPr>
          <w:p w14:paraId="37F3C6CF" w14:textId="77777777" w:rsidR="00147891" w:rsidRDefault="00000000">
            <w:pPr>
              <w:keepNext/>
              <w:keepLines/>
              <w:spacing w:after="20" w:line="240" w:lineRule="auto"/>
              <w:jc w:val="right"/>
            </w:pPr>
            <w:r>
              <w:rPr>
                <w:sz w:val="19"/>
              </w:rPr>
              <w:t>0 and 1 (tie)</w:t>
            </w:r>
          </w:p>
        </w:tc>
        <w:tc>
          <w:tcPr>
            <w:tcW w:w="836" w:type="dxa"/>
            <w:shd w:val="clear" w:color="auto" w:fill="FFFFFF"/>
            <w:tcMar>
              <w:top w:w="80" w:type="dxa"/>
              <w:left w:w="85" w:type="dxa"/>
              <w:bottom w:w="80" w:type="dxa"/>
              <w:right w:w="85" w:type="dxa"/>
            </w:tcMar>
            <w:vAlign w:val="center"/>
          </w:tcPr>
          <w:p w14:paraId="1E1ED056" w14:textId="77777777" w:rsidR="00147891" w:rsidRDefault="00000000">
            <w:pPr>
              <w:keepNext/>
              <w:keepLines/>
              <w:spacing w:after="20" w:line="240" w:lineRule="auto"/>
              <w:jc w:val="right"/>
            </w:pPr>
            <w:r>
              <w:rPr>
                <w:sz w:val="19"/>
              </w:rPr>
              <w:t>237</w:t>
            </w:r>
          </w:p>
        </w:tc>
      </w:tr>
    </w:tbl>
    <w:p w14:paraId="59F41EEA" w14:textId="77777777" w:rsidR="00147891" w:rsidRDefault="00147891">
      <w:pPr>
        <w:pStyle w:val="BodyText"/>
        <w:spacing w:before="140"/>
      </w:pPr>
    </w:p>
    <w:p w14:paraId="0552D5B9" w14:textId="77777777" w:rsidR="00147891" w:rsidRDefault="00000000">
      <w:pPr>
        <w:pStyle w:val="BodyText"/>
      </w:pPr>
      <w:r>
        <w:t xml:space="preserve">Each Chebyshev minimizer is the predicted interior vector, and each positive weighted sum is minimized only at an endpoint. With balanced weights and scale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on the second objective, the Chebyshev equation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gives the closed form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4</m:t>
                </m:r>
              </m:e>
            </m:ra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m:rPr>
            <m:sty m:val="p"/>
          </m:rPr>
          <w:rPr>
            <w:rFonts w:ascii="Cambria Math" w:hAnsi="Cambria Math"/>
          </w:rPr>
          <m:t>/</m:t>
        </m:r>
        <m:r>
          <w:rPr>
            <w:rFonts w:ascii="Cambria Math" w:hAnsi="Cambria Math"/>
          </w:rPr>
          <m:t>2</m:t>
        </m:r>
      </m:oMath>
      <w:r>
        <w:t xml:space="preserve">.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give the golden-ratio conjugate 0.6180340, and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give </w:t>
      </w:r>
      <m:oMath>
        <m:d>
          <m:dPr>
            <m:ctrlPr>
              <w:rPr>
                <w:rFonts w:ascii="Cambria Math" w:hAnsi="Cambria Math"/>
              </w:rPr>
            </m:ctrlPr>
          </m:dPr>
          <m:e>
            <m:rad>
              <m:radPr>
                <m:degHide m:val="1"/>
                <m:ctrlPr>
                  <w:rPr>
                    <w:rFonts w:ascii="Cambria Math" w:hAnsi="Cambria Math"/>
                  </w:rPr>
                </m:ctrlPr>
              </m:radPr>
              <m:deg/>
              <m:e>
                <m:r>
                  <w:rPr>
                    <w:rFonts w:ascii="Cambria Math" w:hAnsi="Cambria Math"/>
                  </w:rPr>
                  <m:t>1781</m:t>
                </m:r>
              </m:e>
            </m:rad>
            <m:r>
              <m:rPr>
                <m:sty m:val="p"/>
              </m:rPr>
              <w:rPr>
                <w:rFonts w:ascii="Cambria Math" w:hAnsi="Cambria Math"/>
              </w:rPr>
              <m:t>-</m:t>
            </m:r>
            <m:r>
              <w:rPr>
                <w:rFonts w:ascii="Cambria Math" w:hAnsi="Cambria Math"/>
              </w:rPr>
              <m:t>41</m:t>
            </m:r>
          </m:e>
        </m:d>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0.1201896</m:t>
        </m:r>
      </m:oMath>
      <w:r>
        <w:t>. The value 0.1201 in Section 9.1 is the corresponding grid point.</w:t>
      </w:r>
    </w:p>
    <w:p w14:paraId="55DDBE19" w14:textId="77777777" w:rsidR="00147891" w:rsidRDefault="00000000">
      <w:pPr>
        <w:pStyle w:val="Heading2"/>
      </w:pPr>
      <w:r>
        <w:t>9.5 Reported reference and replicated preference reuse</w:t>
      </w:r>
    </w:p>
    <w:p w14:paraId="36D29F26" w14:textId="77777777" w:rsidR="00147891" w:rsidRDefault="00000000">
      <w:pPr>
        <w:pStyle w:val="FirstParagraph"/>
      </w:pPr>
      <w:r>
        <w:t xml:space="preserve">For the archive of Section 9.2, completing the square gives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e>
        </m:d>
      </m:oMath>
      <w:r>
        <w:t xml:space="preserve">. The target is therefore a normal law with mean </w:t>
      </w:r>
      <m:oMath>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and variance </w:t>
      </w:r>
      <m:oMath>
        <m:r>
          <w:rPr>
            <w:rFonts w:ascii="Cambria Math" w:hAnsi="Cambria Math"/>
          </w:rPr>
          <m:t>1</m:t>
        </m:r>
        <m:r>
          <m:rPr>
            <m:sty m:val="p"/>
          </m:rPr>
          <w:rPr>
            <w:rFonts w:ascii="Cambria Math" w:hAnsi="Cambria Math"/>
          </w:rPr>
          <m:t>/</m:t>
        </m:r>
        <m:r>
          <w:rPr>
            <w:rFonts w:ascii="Cambria Math" w:hAnsi="Cambria Math"/>
          </w:rPr>
          <m:t>4</m:t>
        </m:r>
      </m:oMath>
      <w:r>
        <w:t xml:space="preserve">, truncated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Its mean of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was evaluated by the V4 interval midpoint quadrature on 200,000 cells, with an interval enclosure of the second derivative. Every enclosure has width below </w:t>
      </w:r>
      <m:oMath>
        <m:r>
          <w:rPr>
            <w:rFonts w:ascii="Cambria Math" w:hAnsi="Cambria Math"/>
          </w:rPr>
          <m:t>1.31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and contains the 20-digit mpmath value. V4 reports that the C sharp program repeated the adaptive, selectively observed archive with its own generator for seed 20261030 and for seeds 1 to 200. Each archive was reweighted at the eleven preferences of Section 9.2 and on a finer grid of 101 preferences.</w:t>
      </w:r>
    </w:p>
    <w:p w14:paraId="49303505" w14:textId="77777777" w:rsidR="00147891" w:rsidRDefault="00000000">
      <w:pPr>
        <w:pStyle w:val="Caption"/>
        <w:keepNext/>
      </w:pPr>
      <w:r>
        <w:lastRenderedPageBreak/>
        <w:t>Table 5. V4 interval target mean of G₁ for each preference and 200-seed C# archive estimates (mean ± standard deviation across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994"/>
        <w:gridCol w:w="3378"/>
        <w:gridCol w:w="2981"/>
        <w:gridCol w:w="2583"/>
      </w:tblGrid>
      <w:tr w:rsidR="00147891" w14:paraId="395E8DC2" w14:textId="77777777">
        <w:trPr>
          <w:cantSplit/>
          <w:tblHeader/>
          <w:jc w:val="center"/>
        </w:trPr>
        <w:tc>
          <w:tcPr>
            <w:tcW w:w="994" w:type="dxa"/>
            <w:shd w:val="clear" w:color="auto" w:fill="E8E8E8"/>
            <w:tcMar>
              <w:top w:w="80" w:type="dxa"/>
              <w:left w:w="85" w:type="dxa"/>
              <w:bottom w:w="80" w:type="dxa"/>
              <w:right w:w="85" w:type="dxa"/>
            </w:tcMar>
            <w:vAlign w:val="center"/>
          </w:tcPr>
          <w:p w14:paraId="596ECDD7" w14:textId="77777777" w:rsidR="00147891" w:rsidRDefault="00000000">
            <w:pPr>
              <w:keepNext/>
              <w:keepLines/>
              <w:spacing w:after="20" w:line="240" w:lineRule="auto"/>
              <w:jc w:val="left"/>
            </w:pPr>
            <w:r>
              <w:rPr>
                <w:b/>
                <w:sz w:val="20"/>
              </w:rPr>
              <w:t>λ₁</w:t>
            </w:r>
          </w:p>
        </w:tc>
        <w:tc>
          <w:tcPr>
            <w:tcW w:w="3378" w:type="dxa"/>
            <w:shd w:val="clear" w:color="auto" w:fill="E8E8E8"/>
            <w:tcMar>
              <w:top w:w="80" w:type="dxa"/>
              <w:left w:w="85" w:type="dxa"/>
              <w:bottom w:w="80" w:type="dxa"/>
              <w:right w:w="85" w:type="dxa"/>
            </w:tcMar>
            <w:vAlign w:val="center"/>
          </w:tcPr>
          <w:p w14:paraId="0ADBA6D2" w14:textId="77777777" w:rsidR="00147891" w:rsidRDefault="00000000">
            <w:pPr>
              <w:spacing w:after="20" w:line="240" w:lineRule="auto"/>
            </w:pPr>
            <w:r>
              <w:rPr>
                <w:b/>
                <w:sz w:val="20"/>
              </w:rPr>
              <w:t>V4 interval target mean</w:t>
            </w:r>
          </w:p>
        </w:tc>
        <w:tc>
          <w:tcPr>
            <w:tcW w:w="2981" w:type="dxa"/>
            <w:shd w:val="clear" w:color="auto" w:fill="E8E8E8"/>
            <w:tcMar>
              <w:top w:w="80" w:type="dxa"/>
              <w:left w:w="85" w:type="dxa"/>
              <w:bottom w:w="80" w:type="dxa"/>
              <w:right w:w="85" w:type="dxa"/>
            </w:tcMar>
            <w:vAlign w:val="center"/>
          </w:tcPr>
          <w:p w14:paraId="279B877A" w14:textId="77777777" w:rsidR="00147891" w:rsidRDefault="00000000">
            <w:pPr>
              <w:keepNext/>
              <w:keepLines/>
              <w:spacing w:after="20" w:line="240" w:lineRule="auto"/>
              <w:jc w:val="right"/>
            </w:pPr>
            <w:r>
              <w:rPr>
                <w:b/>
                <w:sz w:val="20"/>
              </w:rPr>
              <w:t>Corrected estimate</w:t>
            </w:r>
          </w:p>
        </w:tc>
        <w:tc>
          <w:tcPr>
            <w:tcW w:w="2583" w:type="dxa"/>
            <w:shd w:val="clear" w:color="auto" w:fill="E8E8E8"/>
            <w:tcMar>
              <w:top w:w="80" w:type="dxa"/>
              <w:left w:w="85" w:type="dxa"/>
              <w:bottom w:w="80" w:type="dxa"/>
              <w:right w:w="85" w:type="dxa"/>
            </w:tcMar>
            <w:vAlign w:val="center"/>
          </w:tcPr>
          <w:p w14:paraId="14A92E36" w14:textId="77777777" w:rsidR="00147891" w:rsidRDefault="00000000">
            <w:pPr>
              <w:keepNext/>
              <w:keepLines/>
              <w:spacing w:after="20" w:line="240" w:lineRule="auto"/>
              <w:jc w:val="right"/>
            </w:pPr>
            <w:r>
              <w:rPr>
                <w:b/>
                <w:sz w:val="20"/>
              </w:rPr>
              <w:t>Uncorrected mean</w:t>
            </w:r>
          </w:p>
        </w:tc>
      </w:tr>
      <w:tr w:rsidR="00147891" w14:paraId="5F061757" w14:textId="77777777">
        <w:trPr>
          <w:cantSplit/>
          <w:jc w:val="center"/>
        </w:trPr>
        <w:tc>
          <w:tcPr>
            <w:tcW w:w="994" w:type="dxa"/>
            <w:shd w:val="clear" w:color="auto" w:fill="FFFFFF"/>
            <w:tcMar>
              <w:top w:w="80" w:type="dxa"/>
              <w:left w:w="85" w:type="dxa"/>
              <w:bottom w:w="80" w:type="dxa"/>
              <w:right w:w="85" w:type="dxa"/>
            </w:tcMar>
            <w:vAlign w:val="center"/>
          </w:tcPr>
          <w:p w14:paraId="7B711188" w14:textId="77777777" w:rsidR="00147891" w:rsidRDefault="00000000">
            <w:pPr>
              <w:keepNext/>
              <w:keepLines/>
              <w:spacing w:after="20" w:line="240" w:lineRule="auto"/>
              <w:jc w:val="left"/>
            </w:pPr>
            <w:r>
              <w:rPr>
                <w:sz w:val="20"/>
              </w:rPr>
              <w:t>0.0</w:t>
            </w:r>
          </w:p>
        </w:tc>
        <w:tc>
          <w:tcPr>
            <w:tcW w:w="3378" w:type="dxa"/>
            <w:shd w:val="clear" w:color="auto" w:fill="FFFFFF"/>
            <w:tcMar>
              <w:top w:w="80" w:type="dxa"/>
              <w:left w:w="85" w:type="dxa"/>
              <w:bottom w:w="80" w:type="dxa"/>
              <w:right w:w="85" w:type="dxa"/>
            </w:tcMar>
            <w:vAlign w:val="center"/>
          </w:tcPr>
          <w:p w14:paraId="3BBA883E" w14:textId="77777777" w:rsidR="00147891" w:rsidRDefault="00000000">
            <w:pPr>
              <w:spacing w:after="20" w:line="240" w:lineRule="auto"/>
            </w:pPr>
            <w:r>
              <w:rPr>
                <w:sz w:val="20"/>
              </w:rPr>
              <w:t>4.111880346 ± 3.4 × 10⁻¹⁰</w:t>
            </w:r>
          </w:p>
        </w:tc>
        <w:tc>
          <w:tcPr>
            <w:tcW w:w="2981" w:type="dxa"/>
            <w:shd w:val="clear" w:color="auto" w:fill="FFFFFF"/>
            <w:tcMar>
              <w:top w:w="80" w:type="dxa"/>
              <w:left w:w="85" w:type="dxa"/>
              <w:bottom w:w="80" w:type="dxa"/>
              <w:right w:w="85" w:type="dxa"/>
            </w:tcMar>
            <w:vAlign w:val="center"/>
          </w:tcPr>
          <w:p w14:paraId="7E09737C" w14:textId="77777777" w:rsidR="00147891" w:rsidRDefault="00000000">
            <w:pPr>
              <w:keepNext/>
              <w:keepLines/>
              <w:spacing w:after="20" w:line="240" w:lineRule="auto"/>
              <w:jc w:val="right"/>
            </w:pPr>
            <w:r>
              <w:rPr>
                <w:sz w:val="20"/>
              </w:rPr>
              <w:t>4.1117 ± 0.0147</w:t>
            </w:r>
          </w:p>
        </w:tc>
        <w:tc>
          <w:tcPr>
            <w:tcW w:w="2583" w:type="dxa"/>
            <w:shd w:val="clear" w:color="auto" w:fill="FFFFFF"/>
            <w:tcMar>
              <w:top w:w="80" w:type="dxa"/>
              <w:left w:w="85" w:type="dxa"/>
              <w:bottom w:w="80" w:type="dxa"/>
              <w:right w:w="85" w:type="dxa"/>
            </w:tcMar>
            <w:vAlign w:val="center"/>
          </w:tcPr>
          <w:p w14:paraId="4BA04865" w14:textId="77777777" w:rsidR="00147891" w:rsidRDefault="00000000">
            <w:pPr>
              <w:keepNext/>
              <w:keepLines/>
              <w:spacing w:after="20" w:line="240" w:lineRule="auto"/>
              <w:jc w:val="right"/>
            </w:pPr>
            <w:r>
              <w:rPr>
                <w:sz w:val="20"/>
              </w:rPr>
              <w:t>3.7794</w:t>
            </w:r>
          </w:p>
        </w:tc>
      </w:tr>
      <w:tr w:rsidR="00147891" w14:paraId="6F01A760" w14:textId="77777777">
        <w:trPr>
          <w:cantSplit/>
          <w:jc w:val="center"/>
        </w:trPr>
        <w:tc>
          <w:tcPr>
            <w:tcW w:w="994" w:type="dxa"/>
            <w:shd w:val="clear" w:color="auto" w:fill="FFFFFF"/>
            <w:tcMar>
              <w:top w:w="80" w:type="dxa"/>
              <w:left w:w="85" w:type="dxa"/>
              <w:bottom w:w="80" w:type="dxa"/>
              <w:right w:w="85" w:type="dxa"/>
            </w:tcMar>
            <w:vAlign w:val="center"/>
          </w:tcPr>
          <w:p w14:paraId="07BA5DD8" w14:textId="77777777" w:rsidR="00147891" w:rsidRDefault="00000000">
            <w:pPr>
              <w:keepNext/>
              <w:keepLines/>
              <w:spacing w:after="20" w:line="240" w:lineRule="auto"/>
              <w:jc w:val="left"/>
            </w:pPr>
            <w:r>
              <w:rPr>
                <w:sz w:val="20"/>
              </w:rPr>
              <w:t>0.1</w:t>
            </w:r>
          </w:p>
        </w:tc>
        <w:tc>
          <w:tcPr>
            <w:tcW w:w="3378" w:type="dxa"/>
            <w:shd w:val="clear" w:color="auto" w:fill="FFFFFF"/>
            <w:tcMar>
              <w:top w:w="80" w:type="dxa"/>
              <w:left w:w="85" w:type="dxa"/>
              <w:bottom w:w="80" w:type="dxa"/>
              <w:right w:w="85" w:type="dxa"/>
            </w:tcMar>
            <w:vAlign w:val="center"/>
          </w:tcPr>
          <w:p w14:paraId="13AED6E7" w14:textId="77777777" w:rsidR="00147891" w:rsidRDefault="00000000">
            <w:pPr>
              <w:spacing w:after="20" w:line="240" w:lineRule="auto"/>
            </w:pPr>
            <w:r>
              <w:rPr>
                <w:sz w:val="20"/>
              </w:rPr>
              <w:t>3.435808918 ± 1.7 × 10⁻¹⁰</w:t>
            </w:r>
          </w:p>
        </w:tc>
        <w:tc>
          <w:tcPr>
            <w:tcW w:w="2981" w:type="dxa"/>
            <w:shd w:val="clear" w:color="auto" w:fill="FFFFFF"/>
            <w:tcMar>
              <w:top w:w="80" w:type="dxa"/>
              <w:left w:w="85" w:type="dxa"/>
              <w:bottom w:w="80" w:type="dxa"/>
              <w:right w:w="85" w:type="dxa"/>
            </w:tcMar>
            <w:vAlign w:val="center"/>
          </w:tcPr>
          <w:p w14:paraId="35770E92" w14:textId="77777777" w:rsidR="00147891" w:rsidRDefault="00000000">
            <w:pPr>
              <w:keepNext/>
              <w:keepLines/>
              <w:spacing w:after="20" w:line="240" w:lineRule="auto"/>
              <w:jc w:val="right"/>
            </w:pPr>
            <w:r>
              <w:rPr>
                <w:sz w:val="20"/>
              </w:rPr>
              <w:t>3.4357 ± 0.0132</w:t>
            </w:r>
          </w:p>
        </w:tc>
        <w:tc>
          <w:tcPr>
            <w:tcW w:w="2583" w:type="dxa"/>
            <w:shd w:val="clear" w:color="auto" w:fill="FFFFFF"/>
            <w:tcMar>
              <w:top w:w="80" w:type="dxa"/>
              <w:left w:w="85" w:type="dxa"/>
              <w:bottom w:w="80" w:type="dxa"/>
              <w:right w:w="85" w:type="dxa"/>
            </w:tcMar>
            <w:vAlign w:val="center"/>
          </w:tcPr>
          <w:p w14:paraId="3376C8C9" w14:textId="77777777" w:rsidR="00147891" w:rsidRDefault="00000000">
            <w:pPr>
              <w:keepNext/>
              <w:keepLines/>
              <w:spacing w:after="20" w:line="240" w:lineRule="auto"/>
              <w:jc w:val="right"/>
            </w:pPr>
            <w:r>
              <w:rPr>
                <w:sz w:val="20"/>
              </w:rPr>
              <w:t>3.4187</w:t>
            </w:r>
          </w:p>
        </w:tc>
      </w:tr>
      <w:tr w:rsidR="00147891" w14:paraId="23947DBE" w14:textId="77777777">
        <w:trPr>
          <w:cantSplit/>
          <w:jc w:val="center"/>
        </w:trPr>
        <w:tc>
          <w:tcPr>
            <w:tcW w:w="994" w:type="dxa"/>
            <w:shd w:val="clear" w:color="auto" w:fill="FFFFFF"/>
            <w:tcMar>
              <w:top w:w="80" w:type="dxa"/>
              <w:left w:w="85" w:type="dxa"/>
              <w:bottom w:w="80" w:type="dxa"/>
              <w:right w:w="85" w:type="dxa"/>
            </w:tcMar>
            <w:vAlign w:val="center"/>
          </w:tcPr>
          <w:p w14:paraId="2D7EFE58" w14:textId="77777777" w:rsidR="00147891" w:rsidRDefault="00000000">
            <w:pPr>
              <w:keepNext/>
              <w:keepLines/>
              <w:spacing w:after="20" w:line="240" w:lineRule="auto"/>
              <w:jc w:val="left"/>
            </w:pPr>
            <w:r>
              <w:rPr>
                <w:sz w:val="20"/>
              </w:rPr>
              <w:t>0.2</w:t>
            </w:r>
          </w:p>
        </w:tc>
        <w:tc>
          <w:tcPr>
            <w:tcW w:w="3378" w:type="dxa"/>
            <w:shd w:val="clear" w:color="auto" w:fill="FFFFFF"/>
            <w:tcMar>
              <w:top w:w="80" w:type="dxa"/>
              <w:left w:w="85" w:type="dxa"/>
              <w:bottom w:w="80" w:type="dxa"/>
              <w:right w:w="85" w:type="dxa"/>
            </w:tcMar>
            <w:vAlign w:val="center"/>
          </w:tcPr>
          <w:p w14:paraId="7BF0422B" w14:textId="77777777" w:rsidR="00147891" w:rsidRDefault="00000000">
            <w:pPr>
              <w:spacing w:after="20" w:line="240" w:lineRule="auto"/>
            </w:pPr>
            <w:r>
              <w:rPr>
                <w:sz w:val="20"/>
              </w:rPr>
              <w:t>2.791747984 ± 1.5 × 10⁻¹⁰</w:t>
            </w:r>
          </w:p>
        </w:tc>
        <w:tc>
          <w:tcPr>
            <w:tcW w:w="2981" w:type="dxa"/>
            <w:shd w:val="clear" w:color="auto" w:fill="FFFFFF"/>
            <w:tcMar>
              <w:top w:w="80" w:type="dxa"/>
              <w:left w:w="85" w:type="dxa"/>
              <w:bottom w:w="80" w:type="dxa"/>
              <w:right w:w="85" w:type="dxa"/>
            </w:tcMar>
            <w:vAlign w:val="center"/>
          </w:tcPr>
          <w:p w14:paraId="4B276168" w14:textId="77777777" w:rsidR="00147891" w:rsidRDefault="00000000">
            <w:pPr>
              <w:keepNext/>
              <w:keepLines/>
              <w:spacing w:after="20" w:line="240" w:lineRule="auto"/>
              <w:jc w:val="right"/>
            </w:pPr>
            <w:r>
              <w:rPr>
                <w:sz w:val="20"/>
              </w:rPr>
              <w:t>2.7920 ± 0.0119</w:t>
            </w:r>
          </w:p>
        </w:tc>
        <w:tc>
          <w:tcPr>
            <w:tcW w:w="2583" w:type="dxa"/>
            <w:shd w:val="clear" w:color="auto" w:fill="FFFFFF"/>
            <w:tcMar>
              <w:top w:w="80" w:type="dxa"/>
              <w:left w:w="85" w:type="dxa"/>
              <w:bottom w:w="80" w:type="dxa"/>
              <w:right w:w="85" w:type="dxa"/>
            </w:tcMar>
            <w:vAlign w:val="center"/>
          </w:tcPr>
          <w:p w14:paraId="40D0C14D" w14:textId="77777777" w:rsidR="00147891" w:rsidRDefault="00000000">
            <w:pPr>
              <w:keepNext/>
              <w:keepLines/>
              <w:spacing w:after="20" w:line="240" w:lineRule="auto"/>
              <w:jc w:val="right"/>
            </w:pPr>
            <w:r>
              <w:rPr>
                <w:sz w:val="20"/>
              </w:rPr>
              <w:t>3.0326</w:t>
            </w:r>
          </w:p>
        </w:tc>
      </w:tr>
      <w:tr w:rsidR="00147891" w14:paraId="216F3E8E" w14:textId="77777777">
        <w:trPr>
          <w:cantSplit/>
          <w:jc w:val="center"/>
        </w:trPr>
        <w:tc>
          <w:tcPr>
            <w:tcW w:w="994" w:type="dxa"/>
            <w:shd w:val="clear" w:color="auto" w:fill="FFFFFF"/>
            <w:tcMar>
              <w:top w:w="80" w:type="dxa"/>
              <w:left w:w="85" w:type="dxa"/>
              <w:bottom w:w="80" w:type="dxa"/>
              <w:right w:w="85" w:type="dxa"/>
            </w:tcMar>
            <w:vAlign w:val="center"/>
          </w:tcPr>
          <w:p w14:paraId="12A8A28A" w14:textId="77777777" w:rsidR="00147891" w:rsidRDefault="00000000">
            <w:pPr>
              <w:keepNext/>
              <w:keepLines/>
              <w:spacing w:after="20" w:line="240" w:lineRule="auto"/>
              <w:jc w:val="left"/>
            </w:pPr>
            <w:r>
              <w:rPr>
                <w:sz w:val="20"/>
              </w:rPr>
              <w:t>0.3</w:t>
            </w:r>
          </w:p>
        </w:tc>
        <w:tc>
          <w:tcPr>
            <w:tcW w:w="3378" w:type="dxa"/>
            <w:shd w:val="clear" w:color="auto" w:fill="FFFFFF"/>
            <w:tcMar>
              <w:top w:w="80" w:type="dxa"/>
              <w:left w:w="85" w:type="dxa"/>
              <w:bottom w:w="80" w:type="dxa"/>
              <w:right w:w="85" w:type="dxa"/>
            </w:tcMar>
            <w:vAlign w:val="center"/>
          </w:tcPr>
          <w:p w14:paraId="6A704AAB" w14:textId="77777777" w:rsidR="00147891" w:rsidRDefault="00000000">
            <w:pPr>
              <w:spacing w:after="20" w:line="240" w:lineRule="auto"/>
            </w:pPr>
            <w:r>
              <w:rPr>
                <w:sz w:val="20"/>
              </w:rPr>
              <w:t>2.204752188 ± 1.4 × 10⁻¹⁰</w:t>
            </w:r>
          </w:p>
        </w:tc>
        <w:tc>
          <w:tcPr>
            <w:tcW w:w="2981" w:type="dxa"/>
            <w:shd w:val="clear" w:color="auto" w:fill="FFFFFF"/>
            <w:tcMar>
              <w:top w:w="80" w:type="dxa"/>
              <w:left w:w="85" w:type="dxa"/>
              <w:bottom w:w="80" w:type="dxa"/>
              <w:right w:w="85" w:type="dxa"/>
            </w:tcMar>
            <w:vAlign w:val="center"/>
          </w:tcPr>
          <w:p w14:paraId="70ED6759" w14:textId="77777777" w:rsidR="00147891" w:rsidRDefault="00000000">
            <w:pPr>
              <w:keepNext/>
              <w:keepLines/>
              <w:spacing w:after="20" w:line="240" w:lineRule="auto"/>
              <w:jc w:val="right"/>
            </w:pPr>
            <w:r>
              <w:rPr>
                <w:sz w:val="20"/>
              </w:rPr>
              <w:t>2.2052 ± 0.0106</w:t>
            </w:r>
          </w:p>
        </w:tc>
        <w:tc>
          <w:tcPr>
            <w:tcW w:w="2583" w:type="dxa"/>
            <w:shd w:val="clear" w:color="auto" w:fill="FFFFFF"/>
            <w:tcMar>
              <w:top w:w="80" w:type="dxa"/>
              <w:left w:w="85" w:type="dxa"/>
              <w:bottom w:w="80" w:type="dxa"/>
              <w:right w:w="85" w:type="dxa"/>
            </w:tcMar>
            <w:vAlign w:val="center"/>
          </w:tcPr>
          <w:p w14:paraId="5EA2AA61" w14:textId="77777777" w:rsidR="00147891" w:rsidRDefault="00000000">
            <w:pPr>
              <w:keepNext/>
              <w:keepLines/>
              <w:spacing w:after="20" w:line="240" w:lineRule="auto"/>
              <w:jc w:val="right"/>
            </w:pPr>
            <w:r>
              <w:rPr>
                <w:sz w:val="20"/>
              </w:rPr>
              <w:t>2.5741</w:t>
            </w:r>
          </w:p>
        </w:tc>
      </w:tr>
      <w:tr w:rsidR="00147891" w14:paraId="5FE4D4B5" w14:textId="77777777">
        <w:trPr>
          <w:cantSplit/>
          <w:jc w:val="center"/>
        </w:trPr>
        <w:tc>
          <w:tcPr>
            <w:tcW w:w="994" w:type="dxa"/>
            <w:shd w:val="clear" w:color="auto" w:fill="FFFFFF"/>
            <w:tcMar>
              <w:top w:w="80" w:type="dxa"/>
              <w:left w:w="85" w:type="dxa"/>
              <w:bottom w:w="80" w:type="dxa"/>
              <w:right w:w="85" w:type="dxa"/>
            </w:tcMar>
            <w:vAlign w:val="center"/>
          </w:tcPr>
          <w:p w14:paraId="43BF95F7" w14:textId="77777777" w:rsidR="00147891" w:rsidRDefault="00000000">
            <w:pPr>
              <w:keepNext/>
              <w:keepLines/>
              <w:spacing w:after="20" w:line="240" w:lineRule="auto"/>
              <w:jc w:val="left"/>
            </w:pPr>
            <w:r>
              <w:rPr>
                <w:sz w:val="20"/>
              </w:rPr>
              <w:t>0.4</w:t>
            </w:r>
          </w:p>
        </w:tc>
        <w:tc>
          <w:tcPr>
            <w:tcW w:w="3378" w:type="dxa"/>
            <w:shd w:val="clear" w:color="auto" w:fill="FFFFFF"/>
            <w:tcMar>
              <w:top w:w="80" w:type="dxa"/>
              <w:left w:w="85" w:type="dxa"/>
              <w:bottom w:w="80" w:type="dxa"/>
              <w:right w:w="85" w:type="dxa"/>
            </w:tcMar>
            <w:vAlign w:val="center"/>
          </w:tcPr>
          <w:p w14:paraId="27E91067" w14:textId="77777777" w:rsidR="00147891" w:rsidRDefault="00000000">
            <w:pPr>
              <w:spacing w:after="20" w:line="240" w:lineRule="auto"/>
            </w:pPr>
            <w:r>
              <w:rPr>
                <w:sz w:val="20"/>
              </w:rPr>
              <w:t>1.688717289 ± 2.1 × 10⁻¹⁰</w:t>
            </w:r>
          </w:p>
        </w:tc>
        <w:tc>
          <w:tcPr>
            <w:tcW w:w="2981" w:type="dxa"/>
            <w:shd w:val="clear" w:color="auto" w:fill="FFFFFF"/>
            <w:tcMar>
              <w:top w:w="80" w:type="dxa"/>
              <w:left w:w="85" w:type="dxa"/>
              <w:bottom w:w="80" w:type="dxa"/>
              <w:right w:w="85" w:type="dxa"/>
            </w:tcMar>
            <w:vAlign w:val="center"/>
          </w:tcPr>
          <w:p w14:paraId="332719EF" w14:textId="77777777" w:rsidR="00147891" w:rsidRDefault="00000000">
            <w:pPr>
              <w:keepNext/>
              <w:keepLines/>
              <w:spacing w:after="20" w:line="240" w:lineRule="auto"/>
              <w:jc w:val="right"/>
            </w:pPr>
            <w:r>
              <w:rPr>
                <w:sz w:val="20"/>
              </w:rPr>
              <w:t>1.6893 ± 0.0094</w:t>
            </w:r>
          </w:p>
        </w:tc>
        <w:tc>
          <w:tcPr>
            <w:tcW w:w="2583" w:type="dxa"/>
            <w:shd w:val="clear" w:color="auto" w:fill="FFFFFF"/>
            <w:tcMar>
              <w:top w:w="80" w:type="dxa"/>
              <w:left w:w="85" w:type="dxa"/>
              <w:bottom w:w="80" w:type="dxa"/>
              <w:right w:w="85" w:type="dxa"/>
            </w:tcMar>
            <w:vAlign w:val="center"/>
          </w:tcPr>
          <w:p w14:paraId="7E1AA97B" w14:textId="77777777" w:rsidR="00147891" w:rsidRDefault="00000000">
            <w:pPr>
              <w:keepNext/>
              <w:keepLines/>
              <w:spacing w:after="20" w:line="240" w:lineRule="auto"/>
              <w:jc w:val="right"/>
            </w:pPr>
            <w:r>
              <w:rPr>
                <w:sz w:val="20"/>
              </w:rPr>
              <w:t>2.0074</w:t>
            </w:r>
          </w:p>
        </w:tc>
      </w:tr>
      <w:tr w:rsidR="00147891" w14:paraId="00BF60DF" w14:textId="77777777">
        <w:trPr>
          <w:cantSplit/>
          <w:jc w:val="center"/>
        </w:trPr>
        <w:tc>
          <w:tcPr>
            <w:tcW w:w="994" w:type="dxa"/>
            <w:shd w:val="clear" w:color="auto" w:fill="FFFFFF"/>
            <w:tcMar>
              <w:top w:w="80" w:type="dxa"/>
              <w:left w:w="85" w:type="dxa"/>
              <w:bottom w:w="80" w:type="dxa"/>
              <w:right w:w="85" w:type="dxa"/>
            </w:tcMar>
            <w:vAlign w:val="center"/>
          </w:tcPr>
          <w:p w14:paraId="68C11BDD" w14:textId="77777777" w:rsidR="00147891" w:rsidRDefault="00000000">
            <w:pPr>
              <w:keepNext/>
              <w:keepLines/>
              <w:spacing w:after="20" w:line="240" w:lineRule="auto"/>
              <w:jc w:val="left"/>
            </w:pPr>
            <w:r>
              <w:rPr>
                <w:sz w:val="20"/>
              </w:rPr>
              <w:t>0.5</w:t>
            </w:r>
          </w:p>
        </w:tc>
        <w:tc>
          <w:tcPr>
            <w:tcW w:w="3378" w:type="dxa"/>
            <w:shd w:val="clear" w:color="auto" w:fill="FFFFFF"/>
            <w:tcMar>
              <w:top w:w="80" w:type="dxa"/>
              <w:left w:w="85" w:type="dxa"/>
              <w:bottom w:w="80" w:type="dxa"/>
              <w:right w:w="85" w:type="dxa"/>
            </w:tcMar>
            <w:vAlign w:val="center"/>
          </w:tcPr>
          <w:p w14:paraId="5356CDA4" w14:textId="77777777" w:rsidR="00147891" w:rsidRDefault="00000000">
            <w:pPr>
              <w:spacing w:after="20" w:line="240" w:lineRule="auto"/>
            </w:pPr>
            <w:r>
              <w:rPr>
                <w:sz w:val="20"/>
              </w:rPr>
              <w:t>1.249732323 ± 4.5 × 10⁻¹⁰</w:t>
            </w:r>
          </w:p>
        </w:tc>
        <w:tc>
          <w:tcPr>
            <w:tcW w:w="2981" w:type="dxa"/>
            <w:shd w:val="clear" w:color="auto" w:fill="FFFFFF"/>
            <w:tcMar>
              <w:top w:w="80" w:type="dxa"/>
              <w:left w:w="85" w:type="dxa"/>
              <w:bottom w:w="80" w:type="dxa"/>
              <w:right w:w="85" w:type="dxa"/>
            </w:tcMar>
            <w:vAlign w:val="center"/>
          </w:tcPr>
          <w:p w14:paraId="441BFD0C" w14:textId="77777777" w:rsidR="00147891" w:rsidRDefault="00000000">
            <w:pPr>
              <w:keepNext/>
              <w:keepLines/>
              <w:spacing w:after="20" w:line="240" w:lineRule="auto"/>
              <w:jc w:val="right"/>
            </w:pPr>
            <w:r>
              <w:rPr>
                <w:sz w:val="20"/>
              </w:rPr>
              <w:t>1.2502 ± 0.0081</w:t>
            </w:r>
          </w:p>
        </w:tc>
        <w:tc>
          <w:tcPr>
            <w:tcW w:w="2583" w:type="dxa"/>
            <w:shd w:val="clear" w:color="auto" w:fill="FFFFFF"/>
            <w:tcMar>
              <w:top w:w="80" w:type="dxa"/>
              <w:left w:w="85" w:type="dxa"/>
              <w:bottom w:w="80" w:type="dxa"/>
              <w:right w:w="85" w:type="dxa"/>
            </w:tcMar>
            <w:vAlign w:val="center"/>
          </w:tcPr>
          <w:p w14:paraId="00C7817E" w14:textId="77777777" w:rsidR="00147891" w:rsidRDefault="00000000">
            <w:pPr>
              <w:keepNext/>
              <w:keepLines/>
              <w:spacing w:after="20" w:line="240" w:lineRule="auto"/>
              <w:jc w:val="right"/>
            </w:pPr>
            <w:r>
              <w:rPr>
                <w:sz w:val="20"/>
              </w:rPr>
              <w:t>1.3771</w:t>
            </w:r>
          </w:p>
        </w:tc>
      </w:tr>
      <w:tr w:rsidR="00147891" w14:paraId="24476799" w14:textId="77777777">
        <w:trPr>
          <w:cantSplit/>
          <w:jc w:val="center"/>
        </w:trPr>
        <w:tc>
          <w:tcPr>
            <w:tcW w:w="994" w:type="dxa"/>
            <w:shd w:val="clear" w:color="auto" w:fill="FFFFFF"/>
            <w:tcMar>
              <w:top w:w="80" w:type="dxa"/>
              <w:left w:w="85" w:type="dxa"/>
              <w:bottom w:w="80" w:type="dxa"/>
              <w:right w:w="85" w:type="dxa"/>
            </w:tcMar>
            <w:vAlign w:val="center"/>
          </w:tcPr>
          <w:p w14:paraId="48F3F0ED" w14:textId="77777777" w:rsidR="00147891" w:rsidRDefault="00000000">
            <w:pPr>
              <w:keepNext/>
              <w:keepLines/>
              <w:spacing w:after="20" w:line="240" w:lineRule="auto"/>
              <w:jc w:val="left"/>
            </w:pPr>
            <w:r>
              <w:rPr>
                <w:sz w:val="20"/>
              </w:rPr>
              <w:t>0.6</w:t>
            </w:r>
          </w:p>
        </w:tc>
        <w:tc>
          <w:tcPr>
            <w:tcW w:w="3378" w:type="dxa"/>
            <w:shd w:val="clear" w:color="auto" w:fill="FFFFFF"/>
            <w:tcMar>
              <w:top w:w="80" w:type="dxa"/>
              <w:left w:w="85" w:type="dxa"/>
              <w:bottom w:w="80" w:type="dxa"/>
              <w:right w:w="85" w:type="dxa"/>
            </w:tcMar>
            <w:vAlign w:val="center"/>
          </w:tcPr>
          <w:p w14:paraId="516E95FD" w14:textId="77777777" w:rsidR="00147891" w:rsidRDefault="00000000">
            <w:pPr>
              <w:spacing w:after="20" w:line="240" w:lineRule="auto"/>
            </w:pPr>
            <w:r>
              <w:rPr>
                <w:sz w:val="20"/>
              </w:rPr>
              <w:t>0.889891401 ± 2.8 × 10⁻¹⁰</w:t>
            </w:r>
          </w:p>
        </w:tc>
        <w:tc>
          <w:tcPr>
            <w:tcW w:w="2981" w:type="dxa"/>
            <w:shd w:val="clear" w:color="auto" w:fill="FFFFFF"/>
            <w:tcMar>
              <w:top w:w="80" w:type="dxa"/>
              <w:left w:w="85" w:type="dxa"/>
              <w:bottom w:w="80" w:type="dxa"/>
              <w:right w:w="85" w:type="dxa"/>
            </w:tcMar>
            <w:vAlign w:val="center"/>
          </w:tcPr>
          <w:p w14:paraId="1A7CECFE" w14:textId="77777777" w:rsidR="00147891" w:rsidRDefault="00000000">
            <w:pPr>
              <w:keepNext/>
              <w:keepLines/>
              <w:spacing w:after="20" w:line="240" w:lineRule="auto"/>
              <w:jc w:val="right"/>
            </w:pPr>
            <w:r>
              <w:rPr>
                <w:sz w:val="20"/>
              </w:rPr>
              <w:t>0.8902 ± 0.0065</w:t>
            </w:r>
          </w:p>
        </w:tc>
        <w:tc>
          <w:tcPr>
            <w:tcW w:w="2583" w:type="dxa"/>
            <w:shd w:val="clear" w:color="auto" w:fill="FFFFFF"/>
            <w:tcMar>
              <w:top w:w="80" w:type="dxa"/>
              <w:left w:w="85" w:type="dxa"/>
              <w:bottom w:w="80" w:type="dxa"/>
              <w:right w:w="85" w:type="dxa"/>
            </w:tcMar>
            <w:vAlign w:val="center"/>
          </w:tcPr>
          <w:p w14:paraId="459C9D32" w14:textId="77777777" w:rsidR="00147891" w:rsidRDefault="00000000">
            <w:pPr>
              <w:keepNext/>
              <w:keepLines/>
              <w:spacing w:after="20" w:line="240" w:lineRule="auto"/>
              <w:jc w:val="right"/>
            </w:pPr>
            <w:r>
              <w:rPr>
                <w:sz w:val="20"/>
              </w:rPr>
              <w:t>0.8274</w:t>
            </w:r>
          </w:p>
        </w:tc>
      </w:tr>
      <w:tr w:rsidR="00147891" w14:paraId="71827EC5" w14:textId="77777777">
        <w:trPr>
          <w:cantSplit/>
          <w:jc w:val="center"/>
        </w:trPr>
        <w:tc>
          <w:tcPr>
            <w:tcW w:w="994" w:type="dxa"/>
            <w:shd w:val="clear" w:color="auto" w:fill="FFFFFF"/>
            <w:tcMar>
              <w:top w:w="80" w:type="dxa"/>
              <w:left w:w="85" w:type="dxa"/>
              <w:bottom w:w="80" w:type="dxa"/>
              <w:right w:w="85" w:type="dxa"/>
            </w:tcMar>
            <w:vAlign w:val="center"/>
          </w:tcPr>
          <w:p w14:paraId="625E29A7" w14:textId="77777777" w:rsidR="00147891" w:rsidRDefault="00000000">
            <w:pPr>
              <w:keepNext/>
              <w:keepLines/>
              <w:spacing w:after="20" w:line="240" w:lineRule="auto"/>
              <w:jc w:val="left"/>
            </w:pPr>
            <w:r>
              <w:rPr>
                <w:sz w:val="20"/>
              </w:rPr>
              <w:t>0.7</w:t>
            </w:r>
          </w:p>
        </w:tc>
        <w:tc>
          <w:tcPr>
            <w:tcW w:w="3378" w:type="dxa"/>
            <w:shd w:val="clear" w:color="auto" w:fill="FFFFFF"/>
            <w:tcMar>
              <w:top w:w="80" w:type="dxa"/>
              <w:left w:w="85" w:type="dxa"/>
              <w:bottom w:w="80" w:type="dxa"/>
              <w:right w:w="85" w:type="dxa"/>
            </w:tcMar>
            <w:vAlign w:val="center"/>
          </w:tcPr>
          <w:p w14:paraId="5170DA09" w14:textId="77777777" w:rsidR="00147891" w:rsidRDefault="00000000">
            <w:pPr>
              <w:spacing w:after="20" w:line="240" w:lineRule="auto"/>
            </w:pPr>
            <w:r>
              <w:rPr>
                <w:sz w:val="20"/>
              </w:rPr>
              <w:t>0.609515719 ± 1.6 × 10⁻¹⁰</w:t>
            </w:r>
          </w:p>
        </w:tc>
        <w:tc>
          <w:tcPr>
            <w:tcW w:w="2981" w:type="dxa"/>
            <w:shd w:val="clear" w:color="auto" w:fill="FFFFFF"/>
            <w:tcMar>
              <w:top w:w="80" w:type="dxa"/>
              <w:left w:w="85" w:type="dxa"/>
              <w:bottom w:w="80" w:type="dxa"/>
              <w:right w:w="85" w:type="dxa"/>
            </w:tcMar>
            <w:vAlign w:val="center"/>
          </w:tcPr>
          <w:p w14:paraId="71697A76" w14:textId="77777777" w:rsidR="00147891" w:rsidRDefault="00000000">
            <w:pPr>
              <w:keepNext/>
              <w:keepLines/>
              <w:spacing w:after="20" w:line="240" w:lineRule="auto"/>
              <w:jc w:val="right"/>
            </w:pPr>
            <w:r>
              <w:rPr>
                <w:sz w:val="20"/>
              </w:rPr>
              <w:t>0.6097 ± 0.0049</w:t>
            </w:r>
          </w:p>
        </w:tc>
        <w:tc>
          <w:tcPr>
            <w:tcW w:w="2583" w:type="dxa"/>
            <w:shd w:val="clear" w:color="auto" w:fill="FFFFFF"/>
            <w:tcMar>
              <w:top w:w="80" w:type="dxa"/>
              <w:left w:w="85" w:type="dxa"/>
              <w:bottom w:w="80" w:type="dxa"/>
              <w:right w:w="85" w:type="dxa"/>
            </w:tcMar>
            <w:vAlign w:val="center"/>
          </w:tcPr>
          <w:p w14:paraId="768BEFFC" w14:textId="77777777" w:rsidR="00147891" w:rsidRDefault="00000000">
            <w:pPr>
              <w:keepNext/>
              <w:keepLines/>
              <w:spacing w:after="20" w:line="240" w:lineRule="auto"/>
              <w:jc w:val="right"/>
            </w:pPr>
            <w:r>
              <w:rPr>
                <w:sz w:val="20"/>
              </w:rPr>
              <w:t>0.4628</w:t>
            </w:r>
          </w:p>
        </w:tc>
      </w:tr>
      <w:tr w:rsidR="00147891" w14:paraId="1A900A45" w14:textId="77777777">
        <w:trPr>
          <w:cantSplit/>
          <w:jc w:val="center"/>
        </w:trPr>
        <w:tc>
          <w:tcPr>
            <w:tcW w:w="994" w:type="dxa"/>
            <w:shd w:val="clear" w:color="auto" w:fill="FFFFFF"/>
            <w:tcMar>
              <w:top w:w="80" w:type="dxa"/>
              <w:left w:w="85" w:type="dxa"/>
              <w:bottom w:w="80" w:type="dxa"/>
              <w:right w:w="85" w:type="dxa"/>
            </w:tcMar>
            <w:vAlign w:val="center"/>
          </w:tcPr>
          <w:p w14:paraId="36463EE2" w14:textId="77777777" w:rsidR="00147891" w:rsidRDefault="00000000">
            <w:pPr>
              <w:keepNext/>
              <w:keepLines/>
              <w:spacing w:after="20" w:line="240" w:lineRule="auto"/>
              <w:jc w:val="left"/>
            </w:pPr>
            <w:r>
              <w:rPr>
                <w:sz w:val="20"/>
              </w:rPr>
              <w:t>0.8</w:t>
            </w:r>
          </w:p>
        </w:tc>
        <w:tc>
          <w:tcPr>
            <w:tcW w:w="3378" w:type="dxa"/>
            <w:shd w:val="clear" w:color="auto" w:fill="FFFFFF"/>
            <w:tcMar>
              <w:top w:w="80" w:type="dxa"/>
              <w:left w:w="85" w:type="dxa"/>
              <w:bottom w:w="80" w:type="dxa"/>
              <w:right w:w="85" w:type="dxa"/>
            </w:tcMar>
            <w:vAlign w:val="center"/>
          </w:tcPr>
          <w:p w14:paraId="3FE72C8F" w14:textId="77777777" w:rsidR="00147891" w:rsidRDefault="00000000">
            <w:pPr>
              <w:spacing w:after="20" w:line="240" w:lineRule="auto"/>
            </w:pPr>
            <w:r>
              <w:rPr>
                <w:sz w:val="20"/>
              </w:rPr>
              <w:t>0.407618368 ± 4.9 × 10⁻¹⁰</w:t>
            </w:r>
          </w:p>
        </w:tc>
        <w:tc>
          <w:tcPr>
            <w:tcW w:w="2981" w:type="dxa"/>
            <w:shd w:val="clear" w:color="auto" w:fill="FFFFFF"/>
            <w:tcMar>
              <w:top w:w="80" w:type="dxa"/>
              <w:left w:w="85" w:type="dxa"/>
              <w:bottom w:w="80" w:type="dxa"/>
              <w:right w:w="85" w:type="dxa"/>
            </w:tcMar>
            <w:vAlign w:val="center"/>
          </w:tcPr>
          <w:p w14:paraId="22A5363A" w14:textId="77777777" w:rsidR="00147891" w:rsidRDefault="00000000">
            <w:pPr>
              <w:keepNext/>
              <w:keepLines/>
              <w:spacing w:after="20" w:line="240" w:lineRule="auto"/>
              <w:jc w:val="right"/>
            </w:pPr>
            <w:r>
              <w:rPr>
                <w:sz w:val="20"/>
              </w:rPr>
              <w:t>0.4077 ± 0.0035</w:t>
            </w:r>
          </w:p>
        </w:tc>
        <w:tc>
          <w:tcPr>
            <w:tcW w:w="2583" w:type="dxa"/>
            <w:shd w:val="clear" w:color="auto" w:fill="FFFFFF"/>
            <w:tcMar>
              <w:top w:w="80" w:type="dxa"/>
              <w:left w:w="85" w:type="dxa"/>
              <w:bottom w:w="80" w:type="dxa"/>
              <w:right w:w="85" w:type="dxa"/>
            </w:tcMar>
            <w:vAlign w:val="center"/>
          </w:tcPr>
          <w:p w14:paraId="371E2577" w14:textId="77777777" w:rsidR="00147891" w:rsidRDefault="00000000">
            <w:pPr>
              <w:keepNext/>
              <w:keepLines/>
              <w:spacing w:after="20" w:line="240" w:lineRule="auto"/>
              <w:jc w:val="right"/>
            </w:pPr>
            <w:r>
              <w:rPr>
                <w:sz w:val="20"/>
              </w:rPr>
              <w:t>0.2648</w:t>
            </w:r>
          </w:p>
        </w:tc>
      </w:tr>
      <w:tr w:rsidR="00147891" w14:paraId="5E54CFE5" w14:textId="77777777">
        <w:trPr>
          <w:cantSplit/>
          <w:jc w:val="center"/>
        </w:trPr>
        <w:tc>
          <w:tcPr>
            <w:tcW w:w="994" w:type="dxa"/>
            <w:shd w:val="clear" w:color="auto" w:fill="FFFFFF"/>
            <w:tcMar>
              <w:top w:w="80" w:type="dxa"/>
              <w:left w:w="85" w:type="dxa"/>
              <w:bottom w:w="80" w:type="dxa"/>
              <w:right w:w="85" w:type="dxa"/>
            </w:tcMar>
            <w:vAlign w:val="center"/>
          </w:tcPr>
          <w:p w14:paraId="22E6A9D9" w14:textId="77777777" w:rsidR="00147891" w:rsidRDefault="00000000">
            <w:pPr>
              <w:keepNext/>
              <w:keepLines/>
              <w:spacing w:after="20" w:line="240" w:lineRule="auto"/>
              <w:jc w:val="left"/>
            </w:pPr>
            <w:r>
              <w:rPr>
                <w:sz w:val="20"/>
              </w:rPr>
              <w:t>0.9</w:t>
            </w:r>
          </w:p>
        </w:tc>
        <w:tc>
          <w:tcPr>
            <w:tcW w:w="3378" w:type="dxa"/>
            <w:shd w:val="clear" w:color="auto" w:fill="FFFFFF"/>
            <w:tcMar>
              <w:top w:w="80" w:type="dxa"/>
              <w:left w:w="85" w:type="dxa"/>
              <w:bottom w:w="80" w:type="dxa"/>
              <w:right w:w="85" w:type="dxa"/>
            </w:tcMar>
            <w:vAlign w:val="center"/>
          </w:tcPr>
          <w:p w14:paraId="060EA6D4" w14:textId="77777777" w:rsidR="00147891" w:rsidRDefault="00000000">
            <w:pPr>
              <w:spacing w:after="20" w:line="240" w:lineRule="auto"/>
            </w:pPr>
            <w:r>
              <w:rPr>
                <w:sz w:val="20"/>
              </w:rPr>
              <w:t>0.280968049 ± 1.4 × 10⁻¹⁰</w:t>
            </w:r>
          </w:p>
        </w:tc>
        <w:tc>
          <w:tcPr>
            <w:tcW w:w="2981" w:type="dxa"/>
            <w:shd w:val="clear" w:color="auto" w:fill="FFFFFF"/>
            <w:tcMar>
              <w:top w:w="80" w:type="dxa"/>
              <w:left w:w="85" w:type="dxa"/>
              <w:bottom w:w="80" w:type="dxa"/>
              <w:right w:w="85" w:type="dxa"/>
            </w:tcMar>
            <w:vAlign w:val="center"/>
          </w:tcPr>
          <w:p w14:paraId="7B22C0F2" w14:textId="77777777" w:rsidR="00147891" w:rsidRDefault="00000000">
            <w:pPr>
              <w:keepNext/>
              <w:keepLines/>
              <w:spacing w:after="20" w:line="240" w:lineRule="auto"/>
              <w:jc w:val="right"/>
            </w:pPr>
            <w:r>
              <w:rPr>
                <w:sz w:val="20"/>
              </w:rPr>
              <w:t>0.2810 ± 0.0024</w:t>
            </w:r>
          </w:p>
        </w:tc>
        <w:tc>
          <w:tcPr>
            <w:tcW w:w="2583" w:type="dxa"/>
            <w:shd w:val="clear" w:color="auto" w:fill="FFFFFF"/>
            <w:tcMar>
              <w:top w:w="80" w:type="dxa"/>
              <w:left w:w="85" w:type="dxa"/>
              <w:bottom w:w="80" w:type="dxa"/>
              <w:right w:w="85" w:type="dxa"/>
            </w:tcMar>
            <w:vAlign w:val="center"/>
          </w:tcPr>
          <w:p w14:paraId="7F50EB03" w14:textId="77777777" w:rsidR="00147891" w:rsidRDefault="00000000">
            <w:pPr>
              <w:keepNext/>
              <w:keepLines/>
              <w:spacing w:after="20" w:line="240" w:lineRule="auto"/>
              <w:jc w:val="right"/>
            </w:pPr>
            <w:r>
              <w:rPr>
                <w:sz w:val="20"/>
              </w:rPr>
              <w:t>0.1684</w:t>
            </w:r>
          </w:p>
        </w:tc>
      </w:tr>
      <w:tr w:rsidR="00147891" w14:paraId="4CB10695" w14:textId="77777777">
        <w:trPr>
          <w:cantSplit/>
          <w:jc w:val="center"/>
        </w:trPr>
        <w:tc>
          <w:tcPr>
            <w:tcW w:w="994" w:type="dxa"/>
            <w:shd w:val="clear" w:color="auto" w:fill="FFFFFF"/>
            <w:tcMar>
              <w:top w:w="80" w:type="dxa"/>
              <w:left w:w="85" w:type="dxa"/>
              <w:bottom w:w="80" w:type="dxa"/>
              <w:right w:w="85" w:type="dxa"/>
            </w:tcMar>
            <w:vAlign w:val="center"/>
          </w:tcPr>
          <w:p w14:paraId="76B85D21" w14:textId="77777777" w:rsidR="00147891" w:rsidRDefault="00000000">
            <w:pPr>
              <w:keepNext/>
              <w:keepLines/>
              <w:spacing w:after="20" w:line="240" w:lineRule="auto"/>
              <w:jc w:val="left"/>
            </w:pPr>
            <w:r>
              <w:rPr>
                <w:sz w:val="20"/>
              </w:rPr>
              <w:t>1.0</w:t>
            </w:r>
          </w:p>
        </w:tc>
        <w:tc>
          <w:tcPr>
            <w:tcW w:w="3378" w:type="dxa"/>
            <w:shd w:val="clear" w:color="auto" w:fill="FFFFFF"/>
            <w:tcMar>
              <w:top w:w="80" w:type="dxa"/>
              <w:left w:w="85" w:type="dxa"/>
              <w:bottom w:w="80" w:type="dxa"/>
              <w:right w:w="85" w:type="dxa"/>
            </w:tcMar>
            <w:vAlign w:val="center"/>
          </w:tcPr>
          <w:p w14:paraId="19D9AC22" w14:textId="77777777" w:rsidR="00147891" w:rsidRDefault="00000000">
            <w:pPr>
              <w:spacing w:after="20" w:line="240" w:lineRule="auto"/>
            </w:pPr>
            <w:r>
              <w:rPr>
                <w:sz w:val="20"/>
              </w:rPr>
              <w:t>0.222376059 ± 3.2 × 10⁻¹⁰</w:t>
            </w:r>
          </w:p>
        </w:tc>
        <w:tc>
          <w:tcPr>
            <w:tcW w:w="2981" w:type="dxa"/>
            <w:shd w:val="clear" w:color="auto" w:fill="FFFFFF"/>
            <w:tcMar>
              <w:top w:w="80" w:type="dxa"/>
              <w:left w:w="85" w:type="dxa"/>
              <w:bottom w:w="80" w:type="dxa"/>
              <w:right w:w="85" w:type="dxa"/>
            </w:tcMar>
            <w:vAlign w:val="center"/>
          </w:tcPr>
          <w:p w14:paraId="4EAD529E" w14:textId="77777777" w:rsidR="00147891" w:rsidRDefault="00000000">
            <w:pPr>
              <w:keepNext/>
              <w:keepLines/>
              <w:spacing w:after="20" w:line="240" w:lineRule="auto"/>
              <w:jc w:val="right"/>
            </w:pPr>
            <w:r>
              <w:rPr>
                <w:sz w:val="20"/>
              </w:rPr>
              <w:t>0.2225 ± 0.0019</w:t>
            </w:r>
          </w:p>
        </w:tc>
        <w:tc>
          <w:tcPr>
            <w:tcW w:w="2583" w:type="dxa"/>
            <w:shd w:val="clear" w:color="auto" w:fill="FFFFFF"/>
            <w:tcMar>
              <w:top w:w="80" w:type="dxa"/>
              <w:left w:w="85" w:type="dxa"/>
              <w:bottom w:w="80" w:type="dxa"/>
              <w:right w:w="85" w:type="dxa"/>
            </w:tcMar>
            <w:vAlign w:val="center"/>
          </w:tcPr>
          <w:p w14:paraId="6A474F10" w14:textId="77777777" w:rsidR="00147891" w:rsidRDefault="00000000">
            <w:pPr>
              <w:keepNext/>
              <w:keepLines/>
              <w:spacing w:after="20" w:line="240" w:lineRule="auto"/>
              <w:jc w:val="right"/>
            </w:pPr>
            <w:r>
              <w:rPr>
                <w:sz w:val="20"/>
              </w:rPr>
              <w:t>0.1268</w:t>
            </w:r>
          </w:p>
        </w:tc>
      </w:tr>
    </w:tbl>
    <w:p w14:paraId="3E565FF1" w14:textId="77777777" w:rsidR="00147891" w:rsidRDefault="00147891">
      <w:pPr>
        <w:pStyle w:val="BodyText"/>
        <w:spacing w:before="140"/>
      </w:pPr>
    </w:p>
    <w:p w14:paraId="12AB63EA" w14:textId="77777777" w:rsidR="00147891" w:rsidRDefault="00000000">
      <w:pPr>
        <w:pStyle w:val="BodyText"/>
      </w:pPr>
      <w:r>
        <w:t xml:space="preserve">The archives contain 64,893 included responses on average, ranging from 64,369 to 65,402. The Python archive’s 64,605 lies within this range. Across seeds, the largest corrected error over the eleven preferences has median 0.0137, 90th percentile 0.0245 and maximum 0.0447. The Python value 0.0097 lies at the 27th percentile. The largest uncorrected error ranges from 0.348 to 0.410, with median 0.370; the Python value 0.358 lies at the 15th percentile. On the grid of 101 preferences, which contains the eleven, the largest corrected error is the same: median 0.0137 and maximum 0.0447. The largest errors occur at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m:t>
        </m:r>
      </m:oMath>
      <w:r>
        <w:t>, where the seed-to-seed standard deviation is largest. Theorem 6.2 establishes asymptotic uniform consistency; these eleven-point and 101-point summaries alone are not finite-sample certificates over the continuous preference family. The uncorrected curve stays biased in the same direction across seeds.</w:t>
      </w:r>
    </w:p>
    <w:p w14:paraId="5424C6CC" w14:textId="77777777" w:rsidR="00147891" w:rsidRDefault="00000000">
      <w:pPr>
        <w:pStyle w:val="BodyText"/>
        <w:keepNext/>
        <w:spacing w:before="120"/>
        <w:jc w:val="center"/>
      </w:pPr>
      <w:r>
        <w:rPr>
          <w:noProof/>
        </w:rPr>
        <w:lastRenderedPageBreak/>
        <w:drawing>
          <wp:inline distT="0" distB="0" distL="0" distR="0" wp14:anchorId="3A886A51" wp14:editId="1E6383B0">
            <wp:extent cx="6126480" cy="2377440"/>
            <wp:effectExtent l="0" t="0" r="0" b="0"/>
            <wp:docPr id="901" name="Picture 901" descr="Certified reference and replicated preference reuse"/>
            <wp:cNvGraphicFramePr/>
            <a:graphic xmlns:a="http://schemas.openxmlformats.org/drawingml/2006/main">
              <a:graphicData uri="http://schemas.openxmlformats.org/drawingml/2006/picture">
                <pic:pic xmlns:pic="http://schemas.openxmlformats.org/drawingml/2006/picture">
                  <pic:nvPicPr>
                    <pic:cNvPr id="901" name="Picture 901" descr="Certified reference and replicated preference reuse"/>
                    <pic:cNvPicPr>
                      <a:picLocks noChangeAspect="1" noChangeArrowheads="1"/>
                    </pic:cNvPicPr>
                  </pic:nvPicPr>
                  <pic:blipFill>
                    <a:blip r:embed="rId9"/>
                    <a:stretch>
                      <a:fillRect/>
                    </a:stretch>
                  </pic:blipFill>
                  <pic:spPr bwMode="auto">
                    <a:xfrm>
                      <a:off x="0" y="0"/>
                      <a:ext cx="6126480" cy="2377440"/>
                    </a:xfrm>
                    <a:prstGeom prst="rect">
                      <a:avLst/>
                    </a:prstGeom>
                    <a:noFill/>
                  </pic:spPr>
                </pic:pic>
              </a:graphicData>
            </a:graphic>
          </wp:inline>
        </w:drawing>
      </w:r>
    </w:p>
    <w:p w14:paraId="21EB6231" w14:textId="77777777" w:rsidR="00147891" w:rsidRDefault="00000000">
      <w:pPr>
        <w:pStyle w:val="Caption"/>
        <w:keepNext/>
        <w:keepLines/>
      </w:pPr>
      <w:r>
        <w:t>Figure 3. Left: V4 target reference means of G₁ (line), 200-seed corrected estimates (circles, with a ±2 SD band too narrow to see at this scale) and mean uncorrected estimates (squares). Right: per-seed largest error over the eleven preferences, with the single Python run of Section 9.2 (dotted). Plotted labels retain V4 numbering and source provenance; Section 9.8 qualifies numerical certification.</w:t>
      </w:r>
    </w:p>
    <w:p w14:paraId="5E22C2B9" w14:textId="77777777" w:rsidR="00147891" w:rsidRDefault="00000000">
      <w:pPr>
        <w:pStyle w:val="Heading2"/>
      </w:pPr>
      <w:r>
        <w:t>9.6 A sharp total-variation bound for response errors</w:t>
      </w:r>
    </w:p>
    <w:p w14:paraId="769513A3" w14:textId="77777777" w:rsidR="00147891" w:rsidRDefault="00000000">
      <w:pPr>
        <w:pStyle w:val="FirstParagraph"/>
      </w:pPr>
      <w:r>
        <w:t xml:space="preserve">Appendix A2 bounds the total-variation effect of a uniform response error by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oMath>
      <w:r>
        <w:t>. An elementary two-set optimization gives the sharp constant; V4 also reports a symbolic check.</w:t>
      </w:r>
    </w:p>
    <w:p w14:paraId="501F4BA6" w14:textId="77777777" w:rsidR="00147891" w:rsidRDefault="00000000">
      <w:pPr>
        <w:pStyle w:val="BodyText"/>
        <w:keepLines/>
      </w:pPr>
      <w:r>
        <w:t xml:space="preserve">Proposition 9.1 — Sharp total-variation bound. Suppose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η</m:t>
        </m:r>
      </m:oMath>
      <w:r>
        <w:t xml:space="preserve"> </w:t>
      </w:r>
      <m:oMath>
        <m:r>
          <w:rPr>
            <w:rFonts w:ascii="Cambria Math" w:hAnsi="Cambria Math"/>
          </w:rPr>
          <m:t>μ</m:t>
        </m:r>
      </m:oMath>
      <w:r>
        <w:t xml:space="preserve">-almost everywhere, and let </w:t>
      </w:r>
      <m:oMath>
        <m:r>
          <w:rPr>
            <w:rFonts w:ascii="Cambria Math" w:hAnsi="Cambria Math"/>
          </w:rPr>
          <m:t>π</m:t>
        </m:r>
      </m:oMath>
      <w:r>
        <w:t xml:space="preserve"> and </w:t>
      </w:r>
      <m:oMath>
        <m:acc>
          <m:accPr>
            <m:ctrlPr>
              <w:rPr>
                <w:rFonts w:ascii="Cambria Math" w:hAnsi="Cambria Math"/>
              </w:rPr>
            </m:ctrlPr>
          </m:accPr>
          <m:e>
            <m:r>
              <w:rPr>
                <w:rFonts w:ascii="Cambria Math" w:hAnsi="Cambria Math"/>
              </w:rPr>
              <m:t>π</m:t>
            </m:r>
          </m:e>
        </m:acc>
      </m:oMath>
      <w:r>
        <w:t xml:space="preserve"> be the corresponding Gibbs targets at inverse temperature </w:t>
      </w:r>
      <m:oMath>
        <m:r>
          <w:rPr>
            <w:rFonts w:ascii="Cambria Math" w:hAnsi="Cambria Math"/>
          </w:rPr>
          <m:t>β</m:t>
        </m:r>
      </m:oMath>
      <w:r>
        <w:t>. Then</w:t>
      </w:r>
    </w:p>
    <w:p w14:paraId="5BA60DD3" w14:textId="77777777" w:rsidR="00147891" w:rsidRDefault="00000000">
      <w:pPr>
        <w:pStyle w:val="BodyText"/>
        <w:keepLines/>
        <w:spacing w:before="60" w:after="120"/>
        <w:jc w:val="center"/>
      </w:pPr>
      <m:oMathPara>
        <m:oMathParaPr>
          <m:jc m:val="center"/>
        </m:oMathParaPr>
        <m:oMath>
          <m:r>
            <m:rPr>
              <m:sty m:val="p"/>
            </m:rPr>
            <w:rPr>
              <w:rFonts w:ascii="Cambria Math" w:hAnsi="Cambria Math"/>
            </w:rPr>
            <m:t>∥</m:t>
          </m:r>
          <m:acc>
            <m:accPr>
              <m:ctrlPr>
                <w:rPr>
                  <w:rFonts w:ascii="Cambria Math" w:hAnsi="Cambria Math"/>
                </w:rPr>
              </m:ctrlPr>
            </m:accPr>
            <m:e>
              <m:r>
                <w:rPr>
                  <w:rFonts w:ascii="Cambria Math" w:hAnsi="Cambria Math"/>
                </w:rPr>
                <m:t>π</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TV</m:t>
              </m:r>
            </m:sub>
          </m:sSub>
          <m:r>
            <m:rPr>
              <m:sty m:val="p"/>
            </m:rPr>
            <w:rPr>
              <w:rFonts w:ascii="Cambria Math" w:hAnsi="Cambria Math"/>
            </w:rPr>
            <m:t>≤tanh</m:t>
          </m:r>
          <m:d>
            <m:dPr>
              <m:ctrlPr>
                <w:rPr>
                  <w:rFonts w:ascii="Cambria Math" w:hAnsi="Cambria Math"/>
                </w:rPr>
              </m:ctrlPr>
            </m:dPr>
            <m:e>
              <m:r>
                <w:rPr>
                  <w:rFonts w:ascii="Cambria Math" w:hAnsi="Cambria Math"/>
                </w:rPr>
                <m:t>βη</m:t>
              </m:r>
              <m:r>
                <m:rPr>
                  <m:sty m:val="p"/>
                </m:rPr>
                <w:rPr>
                  <w:rFonts w:ascii="Cambria Math" w:hAnsi="Cambria Math"/>
                </w:rPr>
                <m:t>/</m:t>
              </m:r>
              <m:r>
                <w:rPr>
                  <w:rFonts w:ascii="Cambria Math" w:hAnsi="Cambria Math"/>
                </w:rPr>
                <m:t>2</m:t>
              </m:r>
            </m:e>
          </m:d>
          <m:r>
            <m:rPr>
              <m:sty m:val="p"/>
            </m:rPr>
            <w:rPr>
              <w:rFonts w:ascii="Cambria Math" w:hAnsi="Cambria Math"/>
            </w:rPr>
            <m:t>.</m:t>
          </m:r>
          <m:r>
            <m:rPr>
              <m:nor/>
            </m:rPr>
            <m:t xml:space="preserve">    (23)</m:t>
          </m:r>
        </m:oMath>
      </m:oMathPara>
    </w:p>
    <w:p w14:paraId="0C6D2E6C" w14:textId="77777777" w:rsidR="00147891" w:rsidRDefault="00000000">
      <w:pPr>
        <w:pStyle w:val="FirstParagraph"/>
      </w:pPr>
      <w:r>
        <w:t xml:space="preserve">Equality holds whenever </w:t>
      </w:r>
      <m:oMath>
        <m:r>
          <w:rPr>
            <w:rFonts w:ascii="Cambria Math" w:hAnsi="Cambria Math"/>
          </w:rPr>
          <m:t>π</m:t>
        </m:r>
      </m:oMath>
      <w:r>
        <w:t xml:space="preserve"> has a set </w:t>
      </w:r>
      <m:oMath>
        <m:r>
          <w:rPr>
            <w:rFonts w:ascii="Cambria Math" w:hAnsi="Cambria Math"/>
          </w:rPr>
          <m:t>A</m:t>
        </m:r>
      </m:oMath>
      <w:r>
        <w:t xml:space="preserve"> with </w:t>
      </w:r>
      <m:oMath>
        <m:r>
          <w:rPr>
            <w:rFonts w:ascii="Cambria Math" w:hAnsi="Cambria Math"/>
          </w:rPr>
          <m:t>π</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βη</m:t>
                </m:r>
              </m:sup>
            </m:sSup>
          </m:e>
        </m:d>
      </m:oMath>
      <w:r>
        <w:t xml:space="preserve">, and </w:t>
      </w:r>
      <m:oMath>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η</m:t>
        </m:r>
      </m:oMath>
      <w:r>
        <w:t xml:space="preserve"> on </w:t>
      </w:r>
      <m:oMath>
        <m:r>
          <w:rPr>
            <w:rFonts w:ascii="Cambria Math" w:hAnsi="Cambria Math"/>
          </w:rPr>
          <m:t>A</m:t>
        </m:r>
      </m:oMath>
      <w:r>
        <w:t xml:space="preserve"> and </w:t>
      </w:r>
      <m:oMath>
        <m:r>
          <m:rPr>
            <m:sty m:val="p"/>
          </m:rPr>
          <w:rPr>
            <w:rFonts w:ascii="Cambria Math" w:hAnsi="Cambria Math"/>
          </w:rPr>
          <m:t>+</m:t>
        </m:r>
        <m:r>
          <w:rPr>
            <w:rFonts w:ascii="Cambria Math" w:hAnsi="Cambria Math"/>
          </w:rPr>
          <m:t>η</m:t>
        </m:r>
      </m:oMath>
      <w:r>
        <w:t xml:space="preserve"> off </w:t>
      </w:r>
      <m:oMath>
        <m:r>
          <w:rPr>
            <w:rFonts w:ascii="Cambria Math" w:hAnsi="Cambria Math"/>
          </w:rPr>
          <m:t>A</m:t>
        </m:r>
      </m:oMath>
      <w:r>
        <w:t>.</w:t>
      </w:r>
    </w:p>
    <w:p w14:paraId="539AA5BF" w14:textId="77777777" w:rsidR="00147891" w:rsidRDefault="00000000">
      <w:pPr>
        <w:pStyle w:val="BodyText"/>
      </w:pPr>
      <w:r>
        <w:t xml:space="preserve">Proof. For any measurable </w:t>
      </w:r>
      <m:oMath>
        <m:r>
          <w:rPr>
            <w:rFonts w:ascii="Cambria Math" w:hAnsi="Cambria Math"/>
          </w:rPr>
          <m:t>A</m:t>
        </m:r>
      </m:oMath>
      <w:r>
        <w:t xml:space="preserve"> with </w:t>
      </w:r>
      <m:oMath>
        <m:r>
          <w:rPr>
            <w:rFonts w:ascii="Cambria Math" w:hAnsi="Cambria Math"/>
          </w:rPr>
          <m:t>p</m:t>
        </m:r>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e>
        </m:d>
      </m:oMath>
      <w:r>
        <w:t xml:space="preserve">, write </w:t>
      </w:r>
      <m:oMath>
        <m:r>
          <w:rPr>
            <w:rFonts w:ascii="Cambria Math" w:hAnsi="Cambria Math"/>
          </w:rPr>
          <m:t>Δ</m:t>
        </m:r>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oMath>
      <w:r>
        <w:t xml:space="preserve">. Then </w:t>
      </w:r>
      <m:oMath>
        <m:acc>
          <m:accPr>
            <m:ctrlPr>
              <w:rPr>
                <w:rFonts w:ascii="Cambria Math" w:hAnsi="Cambria Math"/>
              </w:rPr>
            </m:ctrlPr>
          </m:accPr>
          <m:e>
            <m:r>
              <w:rPr>
                <w:rFonts w:ascii="Cambria Math" w:hAnsi="Cambria Math"/>
              </w:rPr>
              <m:t>π</m:t>
            </m:r>
          </m:e>
        </m:acc>
        <m:d>
          <m:dPr>
            <m:ctrlPr>
              <w:rPr>
                <w:rFonts w:ascii="Cambria Math" w:hAnsi="Cambria Math"/>
              </w:rPr>
            </m:ctrlPr>
          </m:dPr>
          <m:e>
            <m:r>
              <w:rPr>
                <w:rFonts w:ascii="Cambria Math" w:hAnsi="Cambria Math"/>
              </w:rPr>
              <m:t>A</m:t>
            </m:r>
          </m:e>
        </m:d>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e>
        </m:nary>
        <m:r>
          <w:rPr>
            <w:rFonts w:ascii="Cambria Math" w:hAnsi="Cambria Math"/>
          </w:rPr>
          <m:t>dπ</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w:rPr>
            <w:rFonts w:ascii="Cambria Math" w:hAnsi="Cambria Math"/>
          </w:rPr>
          <m:t>dπ</m:t>
        </m:r>
      </m:oMath>
      <w:r>
        <w:t xml:space="preserve">. This ratio increases with the numerator and decreases with the integral over </w:t>
      </w:r>
      <m:oMath>
        <m:sSup>
          <m:sSupPr>
            <m:ctrlPr>
              <w:rPr>
                <w:rFonts w:ascii="Cambria Math" w:hAnsi="Cambria Math"/>
              </w:rPr>
            </m:ctrlPr>
          </m:sSupPr>
          <m:e>
            <m:r>
              <w:rPr>
                <w:rFonts w:ascii="Cambria Math" w:hAnsi="Cambria Math"/>
              </w:rPr>
              <m:t>A</m:t>
            </m:r>
          </m:e>
          <m:sup>
            <m:r>
              <w:rPr>
                <w:rFonts w:ascii="Cambria Math" w:hAnsi="Cambria Math"/>
              </w:rPr>
              <m:t>c</m:t>
            </m:r>
          </m:sup>
        </m:sSup>
      </m:oMath>
      <w:r>
        <w:t xml:space="preserve">. With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2βη</m:t>
            </m:r>
          </m:sup>
        </m:sSup>
      </m:oMath>
      <w:r>
        <w:t xml:space="preserve">, it is at most </w:t>
      </w:r>
      <m:oMath>
        <m:r>
          <w:rPr>
            <w:rFonts w:ascii="Cambria Math" w:hAnsi="Cambria Math"/>
          </w:rPr>
          <m:t>pk</m:t>
        </m:r>
        <m:r>
          <m:rPr>
            <m:sty m:val="p"/>
          </m:rPr>
          <w:rPr>
            <w:rFonts w:ascii="Cambria Math" w:hAnsi="Cambria Math"/>
          </w:rPr>
          <m:t>/</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oMath>
      <w:r>
        <w:t xml:space="preserve">. Hence </w:t>
      </w:r>
      <m:oMath>
        <m:acc>
          <m:accPr>
            <m:ctrlPr>
              <w:rPr>
                <w:rFonts w:ascii="Cambria Math" w:hAnsi="Cambria Math"/>
              </w:rPr>
            </m:ctrlPr>
          </m:accPr>
          <m:e>
            <m:r>
              <w:rPr>
                <w:rFonts w:ascii="Cambria Math" w:hAnsi="Cambria Math"/>
              </w:rPr>
              <m:t>π</m:t>
            </m:r>
          </m:e>
        </m:acc>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pk</m:t>
        </m:r>
        <m:r>
          <m:rPr>
            <m:sty m:val="p"/>
          </m:rPr>
          <w:rPr>
            <w:rFonts w:ascii="Cambria Math" w:hAnsi="Cambria Math"/>
          </w:rPr>
          <m:t>/</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p</m:t>
        </m:r>
      </m:oMath>
      <w:r>
        <w:t xml:space="preserve">. Differentiation shows that this concave function of </w:t>
      </w:r>
      <m:oMath>
        <m:r>
          <w:rPr>
            <w:rFonts w:ascii="Cambria Math" w:hAnsi="Cambria Math"/>
          </w:rPr>
          <m:t>p</m:t>
        </m:r>
      </m:oMath>
      <w:r>
        <w:t xml:space="preserve"> is maximized at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e>
        </m:d>
      </m:oMath>
      <w:r>
        <w:t xml:space="preserve">, with maximum </w:t>
      </w:r>
      <m:oMath>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=tanh</m:t>
        </m:r>
        <m:d>
          <m:dPr>
            <m:ctrlPr>
              <w:rPr>
                <w:rFonts w:ascii="Cambria Math" w:hAnsi="Cambria Math"/>
              </w:rPr>
            </m:ctrlPr>
          </m:dPr>
          <m:e>
            <m:r>
              <w:rPr>
                <w:rFonts w:ascii="Cambria Math" w:hAnsi="Cambria Math"/>
              </w:rPr>
              <m:t>βη</m:t>
            </m:r>
            <m:r>
              <m:rPr>
                <m:sty m:val="p"/>
              </m:rPr>
              <w:rPr>
                <w:rFonts w:ascii="Cambria Math" w:hAnsi="Cambria Math"/>
              </w:rPr>
              <m:t>/</m:t>
            </m:r>
            <m:r>
              <w:rPr>
                <w:rFonts w:ascii="Cambria Math" w:hAnsi="Cambria Math"/>
              </w:rPr>
              <m:t>2</m:t>
            </m:r>
          </m:e>
        </m:d>
      </m:oMath>
      <w:r>
        <w:t xml:space="preserve">. The extremal </w:t>
      </w:r>
      <m:oMath>
        <m:r>
          <w:rPr>
            <w:rFonts w:ascii="Cambria Math" w:hAnsi="Cambria Math"/>
          </w:rPr>
          <m:t>Δ</m:t>
        </m:r>
      </m:oMath>
      <w:r>
        <w:t xml:space="preserve"> attains both inequalities. ∎</w:t>
      </w:r>
    </w:p>
    <w:p w14:paraId="6ED57949" w14:textId="77777777" w:rsidR="00147891" w:rsidRDefault="00000000">
      <w:pPr>
        <w:pStyle w:val="BodyText"/>
      </w:pPr>
      <w:r>
        <w:t xml:space="preserve">The density-ratio bounds in (27) are unchanged. The total-variation part improves by a factor of two even to first order, because </w:t>
      </w:r>
      <m:oMath>
        <m:r>
          <m:rPr>
            <m:sty m:val="p"/>
          </m:rPr>
          <w:rPr>
            <w:rFonts w:ascii="Cambria Math" w:hAnsi="Cambria Math"/>
          </w:rPr>
          <m:t>tanh</m:t>
        </m:r>
        <m:d>
          <m:dPr>
            <m:ctrlPr>
              <w:rPr>
                <w:rFonts w:ascii="Cambria Math" w:hAnsi="Cambria Math"/>
              </w:rPr>
            </m:ctrlPr>
          </m:dPr>
          <m:e>
            <m:r>
              <w:rPr>
                <w:rFonts w:ascii="Cambria Math" w:hAnsi="Cambria Math"/>
              </w:rPr>
              <m:t>βη</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βη</m:t>
        </m:r>
        <m:r>
          <m:rPr>
            <m:sty m:val="p"/>
          </m:rPr>
          <w:rPr>
            <w:rFonts w:ascii="Cambria Math" w:hAnsi="Cambria Math"/>
          </w:rPr>
          <m:t>/</m:t>
        </m:r>
        <m:r>
          <w:rPr>
            <w:rFonts w:ascii="Cambria Math" w:hAnsi="Cambria Math"/>
          </w:rPr>
          <m:t>2</m:t>
        </m:r>
      </m:oMath>
      <w:r>
        <w:t xml:space="preserve"> whereas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βη</m:t>
        </m:r>
      </m:oMath>
      <w:r>
        <w:t xml:space="preserve">. At </w:t>
      </w:r>
      <m:oMath>
        <m:r>
          <w:rPr>
            <w:rFonts w:ascii="Cambria Math" w:hAnsi="Cambria Math"/>
          </w:rPr>
          <m:t>βη</m:t>
        </m:r>
        <m:r>
          <m:rPr>
            <m:sty m:val="p"/>
          </m:rPr>
          <w:rPr>
            <w:rFonts w:ascii="Cambria Math" w:hAnsi="Cambria Math"/>
          </w:rPr>
          <m:t>=</m:t>
        </m:r>
        <m:r>
          <w:rPr>
            <w:rFonts w:ascii="Cambria Math" w:hAnsi="Cambria Math"/>
          </w:rPr>
          <m:t>0.1</m:t>
        </m:r>
      </m:oMath>
      <w:r>
        <w:t xml:space="preserve"> the bounds are 0.0500 and 0.1107. At </w:t>
      </w:r>
      <m:oMath>
        <m:r>
          <w:rPr>
            <w:rFonts w:ascii="Cambria Math" w:hAnsi="Cambria Math"/>
          </w:rPr>
          <m:t>βη</m:t>
        </m:r>
        <m:r>
          <m:rPr>
            <m:sty m:val="p"/>
          </m:rPr>
          <w:rPr>
            <w:rFonts w:ascii="Cambria Math" w:hAnsi="Cambria Math"/>
          </w:rPr>
          <m:t>=</m:t>
        </m:r>
        <m:r>
          <w:rPr>
            <w:rFonts w:ascii="Cambria Math" w:hAnsi="Cambria Math"/>
          </w:rPr>
          <m:t>0.5</m:t>
        </m:r>
      </m:oMath>
      <w:r>
        <w:t xml:space="preserve"> they are 0.2449 and 0.8591. The bound in (27) reaches one at </w:t>
      </w:r>
      <m:oMath>
        <m:r>
          <w:rPr>
            <w:rFonts w:ascii="Cambria Math" w:hAnsi="Cambria Math"/>
          </w:rPr>
          <m:t>βη</m:t>
        </m:r>
        <m:r>
          <m:rPr>
            <m:sty m:val="p"/>
          </m:rP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3</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0.549</m:t>
        </m:r>
      </m:oMath>
      <w:r>
        <w:t xml:space="preserve">, while the sharp bound stays below one for every finite </w:t>
      </w:r>
      <m:oMath>
        <m:r>
          <w:rPr>
            <w:rFonts w:ascii="Cambria Math" w:hAnsi="Cambria Math"/>
          </w:rPr>
          <m:t>βη</m:t>
        </m:r>
      </m:oMath>
      <w:r>
        <w:t>. The statement still requires the response error bound to be established. It does not convert an uncalibrated surrogate into an exact observation.</w:t>
      </w:r>
    </w:p>
    <w:p w14:paraId="0E9ACAC0" w14:textId="77777777" w:rsidR="00147891" w:rsidRDefault="00000000">
      <w:pPr>
        <w:pStyle w:val="FirstParagraph"/>
        <w:keepLines/>
      </w:pPr>
      <w:r>
        <w:rPr>
          <w:b/>
          <w:bCs/>
        </w:rPr>
        <w:t>Proposition 9.2 (sharp stability under error oscillation).</w:t>
      </w:r>
      <w:r>
        <w:t xml:space="preserve"> Let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Δ</m:t>
        </m:r>
      </m:oMath>
      <w:r>
        <w:t xml:space="preserve"> obey </w:t>
      </w:r>
      <m:oMath>
        <m:r>
          <w:rPr>
            <w:rFonts w:ascii="Cambria Math" w:hAnsi="Cambria Math"/>
          </w:rPr>
          <m:t>a</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oMath>
      <w:r>
        <w:t xml:space="preserve"> almost everywhere, and put </w:t>
      </w: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The two normalized Gibbs targets satisfy</w:t>
      </w:r>
    </w:p>
    <w:p w14:paraId="6360EA82" w14:textId="77777777" w:rsidR="00147891" w:rsidRDefault="00000000">
      <w:pPr>
        <w:pStyle w:val="BodyText"/>
        <w:keepLines/>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π</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≤tanh</m:t>
          </m:r>
          <m:d>
            <m:dPr>
              <m:ctrlPr>
                <w:rPr>
                  <w:rFonts w:ascii="Cambria Math" w:hAnsi="Cambria Math"/>
                </w:rPr>
              </m:ctrlPr>
            </m:dPr>
            <m:e>
              <m:r>
                <w:rPr>
                  <w:rFonts w:ascii="Cambria Math" w:hAnsi="Cambria Math"/>
                </w:rPr>
                <m:t>βd</m:t>
              </m:r>
              <m:r>
                <m:rPr>
                  <m:sty m:val="p"/>
                </m:rPr>
                <w:rPr>
                  <w:rFonts w:ascii="Cambria Math" w:hAnsi="Cambria Math"/>
                </w:rPr>
                <m:t>/</m:t>
              </m:r>
              <m:r>
                <w:rPr>
                  <w:rFonts w:ascii="Cambria Math" w:hAnsi="Cambria Math"/>
                </w:rPr>
                <m:t>4</m:t>
              </m:r>
            </m:e>
          </m:d>
          <m:r>
            <m:rPr>
              <m:sty m:val="p"/>
            </m:rPr>
            <w:rPr>
              <w:rFonts w:ascii="Cambria Math" w:hAnsi="Cambria Math"/>
            </w:rPr>
            <m:t>.</m:t>
          </m:r>
          <m:r>
            <m:rPr>
              <m:nor/>
            </m:rPr>
            <m:t xml:space="preserve">    (24)</m:t>
          </m:r>
        </m:oMath>
      </m:oMathPara>
    </w:p>
    <w:p w14:paraId="1811775D" w14:textId="77777777" w:rsidR="00147891" w:rsidRDefault="00000000">
      <w:pPr>
        <w:pStyle w:val="FirstParagraph"/>
      </w:pPr>
      <w:r>
        <w:t xml:space="preserve">The constant is sharp. In particular, adding an arbitrary constant to the loss has no effect. If objective errors obey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weighted-sum fusion permits </w:t>
      </w:r>
      <m:oMath>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oMath>
      <w:r>
        <w:t xml:space="preserve">. For fixed-reference Chebyshev fusion a valid choice is </w:t>
      </w: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oMath>
      <w:r>
        <w:t>.</w:t>
      </w:r>
    </w:p>
    <w:p w14:paraId="711CE11B" w14:textId="77777777" w:rsidR="00147891" w:rsidRDefault="00000000">
      <w:pPr>
        <w:pStyle w:val="BodyText"/>
      </w:pPr>
      <w:r>
        <w:rPr>
          <w:i/>
          <w:iCs/>
        </w:rPr>
        <w:t>Proof.</w:t>
      </w:r>
      <w:r>
        <w:t xml:space="preserve"> Subtract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oMath>
      <w:r>
        <w:t xml:space="preserve"> from </w:t>
      </w:r>
      <m:oMath>
        <m:acc>
          <m:accPr>
            <m:chr m:val="̃"/>
            <m:ctrlPr>
              <w:rPr>
                <w:rFonts w:ascii="Cambria Math" w:hAnsi="Cambria Math"/>
              </w:rPr>
            </m:ctrlPr>
          </m:accPr>
          <m:e>
            <m:r>
              <w:rPr>
                <w:rFonts w:ascii="Cambria Math" w:hAnsi="Cambria Math"/>
              </w:rPr>
              <m:t>S</m:t>
            </m:r>
          </m:e>
        </m:acc>
      </m:oMath>
      <w:r>
        <w:t xml:space="preserve">. This leaves its normalized target unchanged and makes its error relative to </w:t>
      </w:r>
      <m:oMath>
        <m:r>
          <w:rPr>
            <w:rFonts w:ascii="Cambria Math" w:hAnsi="Cambria Math"/>
          </w:rPr>
          <m:t>S</m:t>
        </m:r>
      </m:oMath>
      <w:r>
        <w:t xml:space="preserve"> at most </w:t>
      </w:r>
      <m:oMath>
        <m:r>
          <w:rPr>
            <w:rFonts w:ascii="Cambria Math" w:hAnsi="Cambria Math"/>
          </w:rPr>
          <m:t>d</m:t>
        </m:r>
        <m:r>
          <m:rPr>
            <m:sty m:val="p"/>
          </m:rPr>
          <w:rPr>
            <w:rFonts w:ascii="Cambria Math" w:hAnsi="Cambria Math"/>
          </w:rPr>
          <m:t>/</m:t>
        </m:r>
        <m:r>
          <w:rPr>
            <w:rFonts w:ascii="Cambria Math" w:hAnsi="Cambria Math"/>
          </w:rPr>
          <m:t>2</m:t>
        </m:r>
      </m:oMath>
      <w:r>
        <w:t xml:space="preserve">. Proposition 9.1 gives (24). Its two-set equality construction with errors </w:t>
      </w:r>
      <m:oMath>
        <m:r>
          <w:rPr>
            <w:rFonts w:ascii="Cambria Math" w:hAnsi="Cambria Math"/>
          </w:rPr>
          <m:t>a</m:t>
        </m:r>
        <m:r>
          <m:rPr>
            <m:sty m:val="p"/>
          </m:rPr>
          <w:rPr>
            <w:rFonts w:ascii="Cambria Math" w:hAnsi="Cambria Math"/>
          </w:rPr>
          <m:t>,</m:t>
        </m:r>
        <m:r>
          <w:rPr>
            <w:rFonts w:ascii="Cambria Math" w:hAnsi="Cambria Math"/>
          </w:rPr>
          <m:t>b</m:t>
        </m:r>
      </m:oMath>
      <w:r>
        <w:t xml:space="preserve"> proves sharpness. For the sum, interval addition gives the stated range. For the maximum, adding coordinate changes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changes the </w:t>
      </w:r>
      <w:r>
        <w:lastRenderedPageBreak/>
        <w:t>maximum by a number between the smallest and largest of those changes, giving the indicated common bounds. □</w:t>
      </w:r>
    </w:p>
    <w:p w14:paraId="7BF4BD18" w14:textId="77777777" w:rsidR="00147891" w:rsidRDefault="00000000">
      <w:pPr>
        <w:pStyle w:val="BodyText"/>
      </w:pPr>
      <w:r>
        <w:t xml:space="preserve">For normalized-mixture targets with unchanged preferences, componentwise errors of oscillation at most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give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sty m:val="p"/>
              </m:rPr>
              <w:rPr>
                <w:rFonts w:ascii="Cambria Math" w:hAnsi="Cambria Math"/>
              </w:rPr>
              <m:t>mix</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mix</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tanh</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4</m:t>
            </m:r>
          </m:e>
        </m:d>
      </m:oMath>
      <w:r>
        <w:t xml:space="preserve"> by convexity of the total-variation norm. Shared component constants cancel through component normalization. These are deterministic perturbation bounds conditional on valid response-error bounds; they are not sampling confidence intervals.</w:t>
      </w:r>
    </w:p>
    <w:p w14:paraId="77073E52" w14:textId="77777777" w:rsidR="00147891" w:rsidRDefault="00000000">
      <w:pPr>
        <w:pStyle w:val="BodyText"/>
        <w:keepNext/>
        <w:spacing w:before="120"/>
        <w:jc w:val="center"/>
      </w:pPr>
      <w:r>
        <w:rPr>
          <w:noProof/>
        </w:rPr>
        <w:drawing>
          <wp:inline distT="0" distB="0" distL="0" distR="0" wp14:anchorId="6ABFBDBE" wp14:editId="58DF14D0">
            <wp:extent cx="6126480" cy="2468880"/>
            <wp:effectExtent l="0" t="0" r="0" b="0"/>
            <wp:docPr id="902" name="Picture 902" descr="Sharp total-variation bound and Chebyshev minimizers"/>
            <wp:cNvGraphicFramePr/>
            <a:graphic xmlns:a="http://schemas.openxmlformats.org/drawingml/2006/main">
              <a:graphicData uri="http://schemas.openxmlformats.org/drawingml/2006/picture">
                <pic:pic xmlns:pic="http://schemas.openxmlformats.org/drawingml/2006/picture">
                  <pic:nvPicPr>
                    <pic:cNvPr id="902" name="Picture 902" descr="Sharp total-variation bound and Chebyshev minimizers"/>
                    <pic:cNvPicPr>
                      <a:picLocks noChangeAspect="1" noChangeArrowheads="1"/>
                    </pic:cNvPicPr>
                  </pic:nvPicPr>
                  <pic:blipFill>
                    <a:blip r:embed="rId10"/>
                    <a:stretch>
                      <a:fillRect/>
                    </a:stretch>
                  </pic:blipFill>
                  <pic:spPr bwMode="auto">
                    <a:xfrm>
                      <a:off x="0" y="0"/>
                      <a:ext cx="6126480" cy="2468880"/>
                    </a:xfrm>
                    <a:prstGeom prst="rect">
                      <a:avLst/>
                    </a:prstGeom>
                    <a:noFill/>
                  </pic:spPr>
                </pic:pic>
              </a:graphicData>
            </a:graphic>
          </wp:inline>
        </w:drawing>
      </w:r>
    </w:p>
    <w:p w14:paraId="6BEED2B0" w14:textId="77777777" w:rsidR="00147891" w:rsidRDefault="00000000">
      <w:pPr>
        <w:pStyle w:val="Caption"/>
        <w:keepNext/>
        <w:keepLines/>
      </w:pPr>
      <w:r>
        <w:t>Figure 4. Left: the total-variation bound in (27) and the sharp bound of Proposition 9.1. Right: the exact balanced Chebyshev minimizer as a function of the second-objective scale, with the two minimizers enclosed in the V4 interval output and verified algebraically in Section 9.7. Plotted labels retain V4 numbering and source provenance; Section 9.8 qualifies numerical certification.</w:t>
      </w:r>
    </w:p>
    <w:p w14:paraId="4415905D" w14:textId="77777777" w:rsidR="00147891" w:rsidRDefault="00000000">
      <w:pPr>
        <w:pStyle w:val="Heading2"/>
      </w:pPr>
      <w:bookmarkStart w:id="37" w:name="exact-checks-of-the-extensions"/>
      <w:r>
        <w:t>9.7 Exact checks of the extensions</w:t>
      </w:r>
    </w:p>
    <w:p w14:paraId="0A502551" w14:textId="77777777" w:rsidR="00147891" w:rsidRDefault="00000000">
      <w:pPr>
        <w:pStyle w:val="FirstParagraph"/>
      </w:pPr>
      <w:r>
        <w:t xml:space="preserve">V5 uses exact rational arithmetic for the finite checks below and reruns no performance experiment. Consider four feasible catalog designs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with response boxes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e>
        </m:d>
      </m:oMath>
      <w:r>
        <w:t xml:space="preserve">, </w:t>
      </w:r>
      <m:oMath>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and </w:t>
      </w:r>
      <m:oMath>
        <m:d>
          <m:dPr>
            <m:begChr m:val="["/>
            <m:endChr m:val="]"/>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5</m:t>
            </m:r>
          </m:e>
        </m:d>
        <m:r>
          <m:rPr>
            <m:sty m:val="p"/>
          </m:rPr>
          <w:rPr>
            <w:rFonts w:ascii="Cambria Math" w:hAnsi="Cambria Math"/>
          </w:rPr>
          <m:t>×</m:t>
        </m:r>
        <m:d>
          <m:dPr>
            <m:begChr m:val="["/>
            <m:endChr m:val="]"/>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5</m:t>
            </m:r>
          </m:e>
        </m:d>
      </m:oMath>
      <w:r>
        <w:t xml:space="preserve">. Theorem 3.6 gives possible set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oMath>
      <w:r>
        <w:t xml:space="preserve"> and necessary set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Enumerating all 256 endpoint completions gives exactly the same union and intersection of Pareto sets. Refining the upper corner of </w:t>
      </w:r>
      <m:oMath>
        <m:r>
          <w:rPr>
            <w:rFonts w:ascii="Cambria Math" w:hAnsi="Cambria Math"/>
          </w:rPr>
          <m:t>C</m:t>
        </m:r>
      </m:oMath>
      <w:r>
        <w:t xml:space="preserve"> to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makes </w:t>
      </w:r>
      <m:oMath>
        <m:r>
          <w:rPr>
            <w:rFonts w:ascii="Cambria Math" w:hAnsi="Cambria Math"/>
          </w:rPr>
          <m:t>C</m:t>
        </m:r>
      </m:oMath>
      <w:r>
        <w:t xml:space="preserve"> necessarily efficient. In a different valid refinement, fix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3</m:t>
            </m:r>
          </m:e>
        </m:d>
      </m:oMath>
      <w:r>
        <w:t xml:space="preserve"> and lower the upper corner of </w:t>
      </w:r>
      <m:oMath>
        <m:r>
          <w:rPr>
            <w:rFonts w:ascii="Cambria Math" w:hAnsi="Cambria Math"/>
          </w:rPr>
          <m:t>A</m:t>
        </m:r>
      </m:oMath>
      <w:r>
        <w:t xml:space="preserve"> to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the possible set shrinks to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These checks distinguish the existential and universal claims.</w:t>
      </w:r>
    </w:p>
    <w:p w14:paraId="3FB44C9F" w14:textId="77777777" w:rsidR="00147891" w:rsidRDefault="00000000">
      <w:pPr>
        <w:pStyle w:val="BodyText"/>
      </w:pPr>
      <w:r>
        <w:t xml:space="preserve">For Theorem 4.4, take two archive states, common corrections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4</m:t>
        </m:r>
      </m:oMath>
      <w:r>
        <w:t xml:space="preserve"> and kernel values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The first component has weight intervals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at each state; the second has weights </w:t>
      </w:r>
      <m:oMath>
        <m:r>
          <w:rPr>
            <w:rFonts w:ascii="Cambria Math" w:hAnsi="Cambria Math"/>
          </w:rPr>
          <m:t>1</m:t>
        </m:r>
      </m:oMath>
      <w:r>
        <w:t xml:space="preserve"> and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4</m:t>
            </m:r>
          </m:e>
        </m:d>
      </m:oMath>
      <w:r>
        <w:t xml:space="preserve">. Endpoint enumeration gives evidence intervals </w:t>
      </w:r>
      <m:oMath>
        <m:d>
          <m:dPr>
            <m:begChr m:val="["/>
            <m:endChr m:val="]"/>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e>
        </m:d>
      </m:oMath>
      <w:r>
        <w:t xml:space="preserve"> and </w:t>
      </w:r>
      <m:oMath>
        <m:d>
          <m:dPr>
            <m:begChr m:val="["/>
            <m:endChr m:val="]"/>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e>
        </m:d>
      </m:oMath>
      <w:r>
        <w:t xml:space="preserve">. Equal preferences give the sharp first-gate interval </w:t>
      </w:r>
      <m:oMath>
        <m:d>
          <m:dPr>
            <m:begChr m:val="["/>
            <m:endChr m:val="]"/>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The endpoint selections used in the proof attain both values. The derivative counterexample in Proposition 4.3 evaluates exactly to </w:t>
      </w:r>
      <m:oMath>
        <m:r>
          <w:rPr>
            <w:rFonts w:ascii="Cambria Math" w:hAnsi="Cambria Math"/>
          </w:rPr>
          <m:t>1</m:t>
        </m:r>
        <m:r>
          <m:rPr>
            <m:sty m:val="p"/>
          </m:rPr>
          <w:rPr>
            <w:rFonts w:ascii="Cambria Math" w:hAnsi="Cambria Math"/>
          </w:rPr>
          <m:t>/</m:t>
        </m:r>
        <m:r>
          <w:rPr>
            <w:rFonts w:ascii="Cambria Math" w:hAnsi="Cambria Math"/>
          </w:rPr>
          <m:t>5</m:t>
        </m:r>
      </m:oMath>
      <w:r>
        <w:t xml:space="preserve"> per component and </w:t>
      </w:r>
      <m:oMath>
        <m:r>
          <w:rPr>
            <w:rFonts w:ascii="Cambria Math" w:hAnsi="Cambria Math"/>
          </w:rPr>
          <m:t>69</m:t>
        </m:r>
        <m:r>
          <m:rPr>
            <m:sty m:val="p"/>
          </m:rPr>
          <w:rPr>
            <w:rFonts w:ascii="Cambria Math" w:hAnsi="Cambria Math"/>
          </w:rPr>
          <m:t>/</m:t>
        </m:r>
        <m:r>
          <w:rPr>
            <w:rFonts w:ascii="Cambria Math" w:hAnsi="Cambria Math"/>
          </w:rPr>
          <m:t>25</m:t>
        </m:r>
      </m:oMath>
      <w:r>
        <w:t xml:space="preserve"> for the mixture. Thus the extra covariance term is not a numerical artifact.</w:t>
      </w:r>
    </w:p>
    <w:p w14:paraId="02EC5272" w14:textId="77777777" w:rsidR="00147891" w:rsidRDefault="00000000">
      <w:pPr>
        <w:pStyle w:val="BodyText"/>
      </w:pPr>
      <w:r>
        <w:t xml:space="preserve">Two-state components with probabilities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have equal-weight arithmetic pool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e>
        </m:d>
      </m:oMath>
      <w:r>
        <w:t xml:space="preserve"> and geometric pool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Squaring the geometric probability ratio gives </w:t>
      </w:r>
      <m:oMath>
        <m:r>
          <w:rPr>
            <w:rFonts w:ascii="Cambria Math" w:hAnsi="Cambria Math"/>
          </w:rPr>
          <m:t>1</m:t>
        </m:r>
        <m:r>
          <m:rPr>
            <m:sty m:val="p"/>
          </m:rPr>
          <w:rPr>
            <w:rFonts w:ascii="Cambria Math" w:hAnsi="Cambria Math"/>
          </w:rPr>
          <m:t>/</m:t>
        </m:r>
        <m:r>
          <w:rPr>
            <w:rFonts w:ascii="Cambria Math" w:hAnsi="Cambria Math"/>
          </w:rPr>
          <m:t>9</m:t>
        </m:r>
      </m:oMath>
      <w:r>
        <w:t xml:space="preserve">, an exact algebraic check of the distinction in Theorem 4.2. For Proposition 9.2, start from probabilities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xml:space="preserve"> and multiply them by tilt factors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Normalization gives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and total variation </w:t>
      </w:r>
      <m:oMath>
        <m:r>
          <w:rPr>
            <w:rFonts w:ascii="Cambria Math" w:hAnsi="Cambria Math"/>
          </w:rPr>
          <m:t>1</m:t>
        </m:r>
        <m:r>
          <m:rPr>
            <m:sty m:val="p"/>
          </m:rPr>
          <w:rPr>
            <w:rFonts w:ascii="Cambria Math" w:hAnsi="Cambria Math"/>
          </w:rPr>
          <m:t>/</m:t>
        </m:r>
        <m:r>
          <w:rPr>
            <w:rFonts w:ascii="Cambria Math" w:hAnsi="Cambria Math"/>
          </w:rPr>
          <m:t>3</m:t>
        </m:r>
      </m:oMath>
      <w:r>
        <w:t xml:space="preserve">. Here </w:t>
      </w:r>
      <m:oMath>
        <m:r>
          <w:rPr>
            <w:rFonts w:ascii="Cambria Math" w:hAnsi="Cambria Math"/>
          </w:rPr>
          <m:t>βd</m:t>
        </m:r>
        <m:r>
          <m:rPr>
            <m:sty m:val="p"/>
          </m:rPr>
          <w:rPr>
            <w:rFonts w:ascii="Cambria Math" w:hAnsi="Cambria Math"/>
          </w:rPr>
          <m:t>=log</m:t>
        </m:r>
        <m:r>
          <w:rPr>
            <w:rFonts w:ascii="Cambria Math" w:hAnsi="Cambria Math"/>
          </w:rPr>
          <m:t>4</m:t>
        </m:r>
      </m:oMath>
      <w:r>
        <w:t xml:space="preserve">, and </w:t>
      </w:r>
      <m:oMath>
        <m:r>
          <m:rPr>
            <m:sty m:val="p"/>
          </m:rPr>
          <w:rPr>
            <w:rFonts w:ascii="Cambria Math" w:hAnsi="Cambria Math"/>
          </w:rPr>
          <m:t>tanh</m:t>
        </m:r>
        <m:d>
          <m:dPr>
            <m:ctrlPr>
              <w:rPr>
                <w:rFonts w:ascii="Cambria Math" w:hAnsi="Cambria Math"/>
              </w:rPr>
            </m:ctrlPr>
          </m:dPr>
          <m:e>
            <m:r>
              <w:rPr>
                <w:rFonts w:ascii="Cambria Math" w:hAnsi="Cambria Math"/>
              </w:rPr>
              <m:t>βd</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attaining the bound.</w:t>
      </w:r>
    </w:p>
    <w:p w14:paraId="3F239B5B" w14:textId="77777777" w:rsidR="00147891" w:rsidRDefault="00000000">
      <w:pPr>
        <w:pStyle w:val="BodyText"/>
      </w:pPr>
      <w:r>
        <w:t xml:space="preserve">The minimizers in Table 4 also admit elementary exact certificates.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m:t>
        </m:r>
      </m:oMath>
      <w:r>
        <w:t xml:space="preserve"> increases and </w:t>
      </w:r>
      <m:oMath>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decreases, so their unique intersection minimizes the Chebyshev maximum. Exact rational substitution gives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for the three inverse-gap preferences. For equal preferences, the increasing polynomial </w:t>
      </w:r>
      <m:oMath>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u</m:t>
        </m:r>
        <m:r>
          <m:rPr>
            <m:sty m:val="p"/>
          </m:rPr>
          <w:rPr>
            <w:rFonts w:ascii="Cambria Math" w:hAnsi="Cambria Math"/>
          </w:rPr>
          <m:t>-</m:t>
        </m:r>
        <m:r>
          <w:rPr>
            <w:rFonts w:ascii="Cambria Math" w:hAnsi="Cambria Math"/>
          </w:rPr>
          <m:t>1</m:t>
        </m:r>
      </m:oMath>
      <w:r>
        <w:t xml:space="preserve"> has opposite endpoint signs on </w:t>
      </w:r>
      <m:oMath>
        <m:d>
          <m:dPr>
            <m:begChr m:val="["/>
            <m:endChr m:val="]"/>
            <m:ctrlPr>
              <w:rPr>
                <w:rFonts w:ascii="Cambria Math" w:hAnsi="Cambria Math"/>
              </w:rPr>
            </m:ctrlPr>
          </m:dPr>
          <m:e>
            <m:r>
              <w:rPr>
                <w:rFonts w:ascii="Cambria Math" w:hAnsi="Cambria Math"/>
              </w:rPr>
              <m:t>0.618033988749</m:t>
            </m:r>
            <m:r>
              <m:rPr>
                <m:sty m:val="p"/>
              </m:rPr>
              <w:rPr>
                <w:rFonts w:ascii="Cambria Math" w:hAnsi="Cambria Math"/>
              </w:rPr>
              <m:t>,</m:t>
            </m:r>
            <m:r>
              <w:rPr>
                <w:rFonts w:ascii="Cambria Math" w:hAnsi="Cambria Math"/>
              </w:rPr>
              <m:t>0.618033988751</m:t>
            </m:r>
          </m:e>
        </m:d>
      </m:oMath>
      <w:r>
        <w:t xml:space="preserve"> at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1</m:t>
        </m:r>
      </m:oMath>
      <w:r>
        <w:t xml:space="preserve">, and on </w:t>
      </w:r>
      <m:oMath>
        <m:d>
          <m:dPr>
            <m:begChr m:val="["/>
            <m:endChr m:val="]"/>
            <m:ctrlPr>
              <w:rPr>
                <w:rFonts w:ascii="Cambria Math" w:hAnsi="Cambria Math"/>
              </w:rPr>
            </m:ctrlPr>
          </m:dPr>
          <m:e>
            <m:r>
              <w:rPr>
                <w:rFonts w:ascii="Cambria Math" w:hAnsi="Cambria Math"/>
              </w:rPr>
              <m:t>0.120189569201</m:t>
            </m:r>
            <m:r>
              <m:rPr>
                <m:sty m:val="p"/>
              </m:rPr>
              <w:rPr>
                <w:rFonts w:ascii="Cambria Math" w:hAnsi="Cambria Math"/>
              </w:rPr>
              <m:t>,</m:t>
            </m:r>
            <m:r>
              <w:rPr>
                <w:rFonts w:ascii="Cambria Math" w:hAnsi="Cambria Math"/>
              </w:rPr>
              <m:t>0.120189569203</m:t>
            </m:r>
          </m:e>
        </m:d>
      </m:oMath>
      <w:r>
        <w:t xml:space="preserve"> at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5</m:t>
        </m:r>
      </m:oMath>
      <w:r>
        <w:t>. These brackets enclose the stated radical roots. Positive weighted sums are strictly concave here, so endpoint comparison gives all their minimizers, including both endpoints at equal weights and unit scales. This certifies the symbolic minimizers independently of floating-point branch and bound.</w:t>
      </w:r>
    </w:p>
    <w:p w14:paraId="540BD7E3" w14:textId="77777777" w:rsidR="00147891" w:rsidRDefault="00000000">
      <w:pPr>
        <w:pStyle w:val="Heading2"/>
      </w:pPr>
      <w:bookmarkStart w:id="38" w:name="X50210da726a9d84b048a5fcd8340115ec2cc5bf"/>
      <w:bookmarkEnd w:id="37"/>
      <w:r>
        <w:t>9.8 Numerical provenance and enclosure limits</w:t>
      </w:r>
    </w:p>
    <w:p w14:paraId="65660A89" w14:textId="77777777" w:rsidR="00147891" w:rsidRDefault="00000000">
      <w:pPr>
        <w:pStyle w:val="FirstParagraph"/>
      </w:pPr>
      <w:r>
        <w:t xml:space="preserve">The attached V4 manuscript and C sharp archive [21] supply the numerical records and four retained figures in Sections 9.1–9.6. New exact checks are confined to Section 9.7. V4 sometimes rounded an interval center while retaining its original radius. For example, its first displayed reference </w:t>
      </w:r>
      <m:oMath>
        <m:r>
          <w:rPr>
            <w:rFonts w:ascii="Cambria Math" w:hAnsi="Cambria Math"/>
          </w:rPr>
          <m:t>4.111880346</m:t>
        </m:r>
        <m:r>
          <m:rPr>
            <m:sty m:val="p"/>
          </m:rPr>
          <w:rPr>
            <w:rFonts w:ascii="Cambria Math" w:hAnsi="Cambria Math"/>
          </w:rPr>
          <m:t>±</m:t>
        </m:r>
        <m:r>
          <w:rPr>
            <w:rFonts w:ascii="Cambria Math" w:hAnsi="Cambria Math"/>
          </w:rPr>
          <m:t>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has upper endpoint below the stored lower endpoint </w:t>
      </w:r>
      <m:oMath>
        <m:r>
          <w:rPr>
            <w:rFonts w:ascii="Cambria Math" w:hAnsi="Cambria Math"/>
          </w:rPr>
          <m:t>4.111880346206526</m:t>
        </m:r>
      </m:oMath>
      <w:r>
        <w:t xml:space="preserve">. Its golden-ratio bracket began at </w:t>
      </w:r>
      <m:oMath>
        <m:r>
          <w:rPr>
            <w:rFonts w:ascii="Cambria Math" w:hAnsi="Cambria Math"/>
          </w:rPr>
          <m:t>0.618033988750</m:t>
        </m:r>
      </m:oMath>
      <w:r>
        <w:t>, which is above the exact root. V5 prints outward endpoints for Table 4 and enlarges the Table 5 display radii to contain the exact binary-rational stored endpoints. The gate display is repaired by the same outward procedure. Correcting the presentation does not establish an upstream computation’s complete arithmetic validity.</w:t>
      </w:r>
    </w:p>
    <w:p w14:paraId="16AF1944" w14:textId="77777777" w:rsidR="00147891" w:rsidRDefault="00000000">
      <w:pPr>
        <w:pStyle w:val="BodyText"/>
      </w:pPr>
      <w:r>
        <w:t xml:space="preserve">The interval type assumes correctly rounded elementary IEEE operations and a four-ulp platform exponential bound. Source inputs such as </w:t>
      </w:r>
      <m:oMath>
        <m:r>
          <w:rPr>
            <w:rFonts w:ascii="Cambria Math" w:hAnsi="Cambria Math"/>
          </w:rPr>
          <m:t>0.4</m:t>
        </m:r>
      </m:oMath>
      <w:r>
        <w:t xml:space="preserve">, </w:t>
      </w:r>
      <m:oMath>
        <m:r>
          <w:rPr>
            <w:rFonts w:ascii="Cambria Math" w:hAnsi="Cambria Math"/>
          </w:rPr>
          <m:t>0.05</m:t>
        </m:r>
      </m:oMath>
      <w:r>
        <w:t xml:space="preserve">, </w:t>
      </w:r>
      <m:oMath>
        <m:r>
          <w:rPr>
            <w:rFonts w:ascii="Cambria Math" w:hAnsi="Cambria Math"/>
          </w:rPr>
          <m:t>8.2</m:t>
        </m:r>
      </m:oMath>
      <w:r>
        <w:t xml:space="preserve"> and rational preference ratios are first rounded to binary64 points. A certificate for exact decimal or rational inputs must also enclose that conversion. Reach.cs bisects a dyadic initial interval; at the stated depth its grid geometry is representable exactly, but its interval statements formally concern the represented coefficients. The exact minimizer arguments above concern the declared rational coefficients directly. Fusion.cs additionally intersects one gate with one minus the other using ordinary endpoint subtraction; that tightening must itself round outward before it can be included in a complete gate certificate.</w:t>
      </w:r>
    </w:p>
    <w:p w14:paraId="566903F8" w14:textId="77777777" w:rsidR="00147891" w:rsidRDefault="00000000">
      <w:pPr>
        <w:pStyle w:val="BodyText"/>
      </w:pPr>
      <w:r>
        <w:t xml:space="preserve">Reuse.Reference uses a non-dyadic grid step, forms cell endpoints and midpoints in ordinary arithmetic, and computes the preference shift outside the interval type. The represented cells are not proved to tile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exactly, their width is not enclosed as the difference of their represented endpoints, and the scalar midpoint is not proved to be each cell’s exact center. Enclosing subsequent integrand and derivative operations does not cover these geometry and parameter errors. Table 5 therefore reports V4 interval outputs, conditional on these unresolved obligations, rather than independently certified full real-integral enclosures. Scalar widths quoted to one or two significant digits are descriptive summaries, not additional interval certificates.</w:t>
      </w:r>
    </w:p>
    <w:p w14:paraId="15CA18C3" w14:textId="77777777" w:rsidR="00147891" w:rsidRDefault="00000000">
      <w:pPr>
        <w:pStyle w:val="BodyText"/>
      </w:pPr>
      <w:r>
        <w:t>The adaptive archive simulation estimates its truncated-normal proposal normalizer by ordinary Simpson quadrature. Its response values, densities, log weights and accumulations are also floating-point diagnostics. These records illustrate approximate implementation behavior; the exact conditional identities assume the actual Radon–Nikodym derivatives and compatible responses. A 200-seed summary does not prove that numerical approximation errors are absent or that a future preference has calibrated finite-sample uncertainty. The reported 101-point maximum is a grid maximum, subject also to reference and arithmetic error. Proposition 6.5 states what extra bounds are needed to turn such values into a continuum certificate.</w:t>
      </w:r>
    </w:p>
    <w:p w14:paraId="0524B840" w14:textId="77777777" w:rsidR="00147891" w:rsidRDefault="00000000">
      <w:pPr>
        <w:pStyle w:val="BodyText"/>
      </w:pPr>
      <w:r>
        <w:t>A complete future numerical certificate should enclose input conversion, all grid geometry, preference shifts, component normalization, gate tightening and final summaries. The new interval Pareto and gate certificates specify mathematical contracts; their resource savings and engineering utility remain to be evaluated. The retained neuroscience and harness discussion supplies context and hypotheses, not evidence for these numerical guarantees.</w:t>
      </w:r>
    </w:p>
    <w:p w14:paraId="6CBD26B2" w14:textId="77777777" w:rsidR="00D84A52" w:rsidRDefault="00000000">
      <w:pPr>
        <w:pStyle w:val="Heading1"/>
      </w:pPr>
      <w:bookmarkStart w:id="39" w:name="Xe6d7f7a684358773d21c68a90b84edd5585ae38"/>
      <w:bookmarkEnd w:id="33"/>
      <w:bookmarkEnd w:id="36"/>
      <w:bookmarkEnd w:id="38"/>
      <w:r>
        <w:t>10 Recent neuroscience and the limits of the analogy</w:t>
      </w:r>
    </w:p>
    <w:p w14:paraId="2F826464" w14:textId="77777777" w:rsidR="00D84A52" w:rsidRDefault="00000000">
      <w:pPr>
        <w:pStyle w:val="Heading2"/>
      </w:pPr>
      <w:bookmarkStart w:id="40" w:name="Xc1ef143ca980e2e6aa9334ac10483e97e7af5c3"/>
      <w:r>
        <w:t>10.1 Separate attributes and sequential integration</w:t>
      </w:r>
    </w:p>
    <w:p w14:paraId="38520F32" w14:textId="77777777" w:rsidR="00D84A52" w:rsidRDefault="00000000">
      <w:pPr>
        <w:pStyle w:val="FirstParagraph"/>
      </w:pPr>
      <w:r>
        <w:t xml:space="preserve">Grabenhorst and Báez-Mendoza recorded amygdala neurons in two male monkeys receiving sequential cues for reward probability and magnitude [12]. Their 2025 study identifies both attribute-selective responses and temporally changing integration into value and risk-related signals. This is relevant to the engineering choice of preserving a response vector before computing a fused preference: separate information can remain available </w:t>
      </w:r>
      <w:r>
        <w:lastRenderedPageBreak/>
        <w:t>even when an integrated decision variable is formed. The study does not demonstrate a Pareto front, objective-specific Transformer heads, or an ADE sampling law.</w:t>
      </w:r>
    </w:p>
    <w:p w14:paraId="3F1DB3DA" w14:textId="77777777" w:rsidR="00D84A52" w:rsidRDefault="00000000">
      <w:pPr>
        <w:pStyle w:val="BodyText"/>
      </w:pPr>
      <w:r>
        <w:t>Ferrari-Toniolo, Seak, and Schultz’s 2026 study examines dopamine signals during uncertain-reward valuation in monkeys [13]. Population responses reflected integration of utility and subjectively weighted probability in a manner associated with the animals’ choices. This supports investigating explicit mappings from component attributes to a decision variable. It does not justify assuming a linear weighted sum, a Chebyshev maximum, or objective-independent weights for biological valuation. Subjective utility and probability weighting can be nonlinear.</w:t>
      </w:r>
    </w:p>
    <w:p w14:paraId="71897EFE" w14:textId="77777777" w:rsidR="00D84A52" w:rsidRDefault="00000000">
      <w:pPr>
        <w:pStyle w:val="BodyText"/>
      </w:pPr>
      <w:r>
        <w:t>The constructive analogy is therefore architectural rather than anatomical: retain typed component representations, declare the combination rule, and evaluate its behavior. A probability attribute, a cost objective, a feasibility indicator, and a confidence estimate should not be placed into one untyped scalar merely because each can influence a decision.</w:t>
      </w:r>
    </w:p>
    <w:p w14:paraId="42D9DD72" w14:textId="77777777" w:rsidR="00D84A52" w:rsidRDefault="00000000">
      <w:pPr>
        <w:pStyle w:val="Heading2"/>
      </w:pPr>
      <w:bookmarkStart w:id="41" w:name="reliability-is-not-preference"/>
      <w:bookmarkEnd w:id="40"/>
      <w:r>
        <w:t>10.2 Reliability is not preference</w:t>
      </w:r>
    </w:p>
    <w:p w14:paraId="3B112BF7" w14:textId="77777777" w:rsidR="00D84A52" w:rsidRDefault="00000000">
      <w:pPr>
        <w:pStyle w:val="FirstParagraph"/>
      </w:pPr>
      <w:r>
        <w:t>Liu, Holland, Ma, and Acerbi’s 2026 human audiovisual study fits flexible Bayesian observer models to localization and common-source judgments [14]. The results favor spatially varying sensory noise and non-Gaussian prior structure over customary constant-noise Gaussian assumptions. This is behavioral computational evidence about perceptual inference, not direct neural recording. It supports calibrating a measurement model rather than treating a convenient Gaussian kernel as a discovered biological mechanism.</w:t>
      </w:r>
    </w:p>
    <w:p w14:paraId="1CD07C7F" w14:textId="77777777" w:rsidR="00D84A52" w:rsidRDefault="00000000">
      <w:pPr>
        <w:pStyle w:val="BodyText"/>
      </w:pPr>
      <w:r>
        <w:t>Frömer and colleagues’ 2025 behavioral and modeling study independently manipulates value and attention [15]. Their sequential sampling account predicts that confidence and attention can increase selection of better-than-average options while decreasing selection of worse-than-average options; two experiments support this interaction. Thus greater confidence is not a universal instruction to favor an option. The engineering counterpart is to let uncertainty govern further measurement and verification, while declared preferences determine which verified outcomes are desirable.</w:t>
      </w:r>
    </w:p>
    <w:p w14:paraId="0544DED8" w14:textId="77777777" w:rsidR="00D84A52" w:rsidRDefault="00000000">
      <w:pPr>
        <w:pStyle w:val="BodyText"/>
      </w:pPr>
      <w:r>
        <w:t>In construction design, poor confidence in a stress estimate should trigger a better analysis or a conservative feasibility decision. It should not silently reduce the importance of structural safety. A low-confidence embodied-carbon estimate similarly calls for uncertainty treatment, not an arbitrary change to the client’s carbon preference. Evidence gates in (10) estimate compatibility of a query with mixture components; they are not generic trust scores for tools.</w:t>
      </w:r>
    </w:p>
    <w:p w14:paraId="3E25BB9E" w14:textId="77777777" w:rsidR="00D84A52" w:rsidRDefault="00000000">
      <w:pPr>
        <w:pStyle w:val="Caption"/>
        <w:keepNext/>
      </w:pPr>
      <w:r>
        <w:t>Table 6. Supported functional comparisons and their scope.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456"/>
        <w:gridCol w:w="3600"/>
        <w:gridCol w:w="2880"/>
      </w:tblGrid>
      <w:tr w:rsidR="00D84A52" w14:paraId="762B1259" w14:textId="77777777">
        <w:trPr>
          <w:cantSplit/>
          <w:tblHeader/>
          <w:jc w:val="center"/>
        </w:trPr>
        <w:tc>
          <w:tcPr>
            <w:tcW w:w="3456" w:type="dxa"/>
            <w:shd w:val="clear" w:color="auto" w:fill="E8E8E8"/>
            <w:tcMar>
              <w:top w:w="80" w:type="dxa"/>
              <w:left w:w="85" w:type="dxa"/>
              <w:bottom w:w="80" w:type="dxa"/>
              <w:right w:w="85" w:type="dxa"/>
            </w:tcMar>
            <w:vAlign w:val="center"/>
          </w:tcPr>
          <w:p w14:paraId="489B6A40" w14:textId="77777777" w:rsidR="00D84A52" w:rsidRDefault="00000000">
            <w:pPr>
              <w:keepNext/>
              <w:keepLines/>
              <w:spacing w:after="20" w:line="240" w:lineRule="auto"/>
              <w:jc w:val="left"/>
            </w:pPr>
            <w:r>
              <w:rPr>
                <w:b/>
                <w:sz w:val="20"/>
              </w:rPr>
              <w:t>Primary evidence</w:t>
            </w:r>
          </w:p>
        </w:tc>
        <w:tc>
          <w:tcPr>
            <w:tcW w:w="3600" w:type="dxa"/>
            <w:shd w:val="clear" w:color="auto" w:fill="E8E8E8"/>
            <w:tcMar>
              <w:top w:w="80" w:type="dxa"/>
              <w:left w:w="85" w:type="dxa"/>
              <w:bottom w:w="80" w:type="dxa"/>
              <w:right w:w="85" w:type="dxa"/>
            </w:tcMar>
            <w:vAlign w:val="center"/>
          </w:tcPr>
          <w:p w14:paraId="0D47E887" w14:textId="77777777" w:rsidR="00D84A52" w:rsidRDefault="00000000">
            <w:pPr>
              <w:keepNext/>
              <w:keepLines/>
              <w:spacing w:after="20" w:line="240" w:lineRule="auto"/>
              <w:jc w:val="left"/>
            </w:pPr>
            <w:r>
              <w:rPr>
                <w:b/>
                <w:sz w:val="20"/>
              </w:rPr>
              <w:t>Proposed engineering analogue</w:t>
            </w:r>
          </w:p>
        </w:tc>
        <w:tc>
          <w:tcPr>
            <w:tcW w:w="2880" w:type="dxa"/>
            <w:shd w:val="clear" w:color="auto" w:fill="E8E8E8"/>
            <w:tcMar>
              <w:top w:w="80" w:type="dxa"/>
              <w:left w:w="85" w:type="dxa"/>
              <w:bottom w:w="80" w:type="dxa"/>
              <w:right w:w="85" w:type="dxa"/>
            </w:tcMar>
            <w:vAlign w:val="center"/>
          </w:tcPr>
          <w:p w14:paraId="1AB03D44" w14:textId="77777777" w:rsidR="00D84A52" w:rsidRDefault="00000000">
            <w:pPr>
              <w:keepNext/>
              <w:keepLines/>
              <w:spacing w:after="20" w:line="240" w:lineRule="auto"/>
              <w:jc w:val="left"/>
            </w:pPr>
            <w:r>
              <w:rPr>
                <w:b/>
                <w:sz w:val="20"/>
              </w:rPr>
              <w:t>What is not established</w:t>
            </w:r>
          </w:p>
        </w:tc>
      </w:tr>
      <w:tr w:rsidR="00D84A52" w14:paraId="302AE97A" w14:textId="77777777">
        <w:trPr>
          <w:cantSplit/>
          <w:jc w:val="center"/>
        </w:trPr>
        <w:tc>
          <w:tcPr>
            <w:tcW w:w="3456" w:type="dxa"/>
            <w:shd w:val="clear" w:color="auto" w:fill="FFFFFF"/>
            <w:tcMar>
              <w:top w:w="80" w:type="dxa"/>
              <w:left w:w="85" w:type="dxa"/>
              <w:bottom w:w="80" w:type="dxa"/>
              <w:right w:w="85" w:type="dxa"/>
            </w:tcMar>
            <w:vAlign w:val="center"/>
          </w:tcPr>
          <w:p w14:paraId="6D6BC675" w14:textId="77777777" w:rsidR="00D84A52" w:rsidRDefault="00000000">
            <w:pPr>
              <w:keepNext/>
              <w:keepLines/>
              <w:spacing w:after="20" w:line="240" w:lineRule="auto"/>
              <w:jc w:val="left"/>
            </w:pPr>
            <w:r>
              <w:rPr>
                <w:sz w:val="20"/>
              </w:rPr>
              <w:t>Attribute-selective and integrated neural responses [12,13]</w:t>
            </w:r>
          </w:p>
        </w:tc>
        <w:tc>
          <w:tcPr>
            <w:tcW w:w="3600" w:type="dxa"/>
            <w:shd w:val="clear" w:color="auto" w:fill="FFFFFF"/>
            <w:tcMar>
              <w:top w:w="80" w:type="dxa"/>
              <w:left w:w="85" w:type="dxa"/>
              <w:bottom w:w="80" w:type="dxa"/>
              <w:right w:w="85" w:type="dxa"/>
            </w:tcMar>
            <w:vAlign w:val="center"/>
          </w:tcPr>
          <w:p w14:paraId="5AA96685" w14:textId="77777777" w:rsidR="00D84A52" w:rsidRDefault="00000000">
            <w:pPr>
              <w:keepNext/>
              <w:keepLines/>
              <w:spacing w:after="20" w:line="240" w:lineRule="auto"/>
              <w:jc w:val="left"/>
            </w:pPr>
            <w:r>
              <w:rPr>
                <w:sz w:val="20"/>
              </w:rPr>
              <w:t>Preserve raw objectives and compute declared fusion separately</w:t>
            </w:r>
          </w:p>
        </w:tc>
        <w:tc>
          <w:tcPr>
            <w:tcW w:w="2880" w:type="dxa"/>
            <w:shd w:val="clear" w:color="auto" w:fill="FFFFFF"/>
            <w:tcMar>
              <w:top w:w="80" w:type="dxa"/>
              <w:left w:w="85" w:type="dxa"/>
              <w:bottom w:w="80" w:type="dxa"/>
              <w:right w:w="85" w:type="dxa"/>
            </w:tcMar>
            <w:vAlign w:val="center"/>
          </w:tcPr>
          <w:p w14:paraId="2FCEEB70" w14:textId="77777777" w:rsidR="00D84A52" w:rsidRDefault="00000000">
            <w:pPr>
              <w:keepNext/>
              <w:keepLines/>
              <w:spacing w:after="20" w:line="240" w:lineRule="auto"/>
              <w:jc w:val="left"/>
            </w:pPr>
            <w:r>
              <w:rPr>
                <w:sz w:val="20"/>
              </w:rPr>
              <w:t>A specific brain scalarization or Pareto optimizer</w:t>
            </w:r>
          </w:p>
        </w:tc>
      </w:tr>
      <w:tr w:rsidR="00D84A52" w14:paraId="0DBFD178" w14:textId="77777777">
        <w:trPr>
          <w:cantSplit/>
          <w:jc w:val="center"/>
        </w:trPr>
        <w:tc>
          <w:tcPr>
            <w:tcW w:w="3456" w:type="dxa"/>
            <w:shd w:val="clear" w:color="auto" w:fill="FFFFFF"/>
            <w:tcMar>
              <w:top w:w="80" w:type="dxa"/>
              <w:left w:w="85" w:type="dxa"/>
              <w:bottom w:w="80" w:type="dxa"/>
              <w:right w:w="85" w:type="dxa"/>
            </w:tcMar>
            <w:vAlign w:val="center"/>
          </w:tcPr>
          <w:p w14:paraId="794BB33A" w14:textId="77777777" w:rsidR="00D84A52" w:rsidRDefault="00000000">
            <w:pPr>
              <w:keepNext/>
              <w:keepLines/>
              <w:spacing w:after="20" w:line="240" w:lineRule="auto"/>
              <w:jc w:val="left"/>
            </w:pPr>
            <w:r>
              <w:rPr>
                <w:sz w:val="20"/>
              </w:rPr>
              <w:t>Flexible sensory noise and prior models [14]</w:t>
            </w:r>
          </w:p>
        </w:tc>
        <w:tc>
          <w:tcPr>
            <w:tcW w:w="3600" w:type="dxa"/>
            <w:shd w:val="clear" w:color="auto" w:fill="FFFFFF"/>
            <w:tcMar>
              <w:top w:w="80" w:type="dxa"/>
              <w:left w:w="85" w:type="dxa"/>
              <w:bottom w:w="80" w:type="dxa"/>
              <w:right w:w="85" w:type="dxa"/>
            </w:tcMar>
            <w:vAlign w:val="center"/>
          </w:tcPr>
          <w:p w14:paraId="6827A3F7" w14:textId="77777777" w:rsidR="00D84A52" w:rsidRDefault="00000000">
            <w:pPr>
              <w:keepNext/>
              <w:keepLines/>
              <w:spacing w:after="20" w:line="240" w:lineRule="auto"/>
              <w:jc w:val="left"/>
            </w:pPr>
            <w:r>
              <w:rPr>
                <w:sz w:val="20"/>
              </w:rPr>
              <w:t>Calibrate retrieval and observation assumptions</w:t>
            </w:r>
          </w:p>
        </w:tc>
        <w:tc>
          <w:tcPr>
            <w:tcW w:w="2880" w:type="dxa"/>
            <w:shd w:val="clear" w:color="auto" w:fill="FFFFFF"/>
            <w:tcMar>
              <w:top w:w="80" w:type="dxa"/>
              <w:left w:w="85" w:type="dxa"/>
              <w:bottom w:w="80" w:type="dxa"/>
              <w:right w:w="85" w:type="dxa"/>
            </w:tcMar>
            <w:vAlign w:val="center"/>
          </w:tcPr>
          <w:p w14:paraId="53CA2A26" w14:textId="77777777" w:rsidR="00D84A52" w:rsidRDefault="00000000">
            <w:pPr>
              <w:keepNext/>
              <w:keepLines/>
              <w:spacing w:after="20" w:line="240" w:lineRule="auto"/>
              <w:jc w:val="left"/>
            </w:pPr>
            <w:r>
              <w:rPr>
                <w:sz w:val="20"/>
              </w:rPr>
              <w:t>A universal Gaussian neural likelihood</w:t>
            </w:r>
          </w:p>
        </w:tc>
      </w:tr>
      <w:tr w:rsidR="00D84A52" w14:paraId="56D37D39" w14:textId="77777777">
        <w:trPr>
          <w:cantSplit/>
          <w:jc w:val="center"/>
        </w:trPr>
        <w:tc>
          <w:tcPr>
            <w:tcW w:w="3456" w:type="dxa"/>
            <w:shd w:val="clear" w:color="auto" w:fill="FFFFFF"/>
            <w:tcMar>
              <w:top w:w="80" w:type="dxa"/>
              <w:left w:w="85" w:type="dxa"/>
              <w:bottom w:w="80" w:type="dxa"/>
              <w:right w:w="85" w:type="dxa"/>
            </w:tcMar>
            <w:vAlign w:val="center"/>
          </w:tcPr>
          <w:p w14:paraId="12D39E05" w14:textId="77777777" w:rsidR="00D84A52" w:rsidRDefault="00000000">
            <w:pPr>
              <w:keepLines/>
              <w:spacing w:after="20" w:line="240" w:lineRule="auto"/>
              <w:jc w:val="left"/>
            </w:pPr>
            <w:r>
              <w:rPr>
                <w:sz w:val="20"/>
              </w:rPr>
              <w:t>Context-dependent attention and confidence [15]</w:t>
            </w:r>
          </w:p>
        </w:tc>
        <w:tc>
          <w:tcPr>
            <w:tcW w:w="3600" w:type="dxa"/>
            <w:shd w:val="clear" w:color="auto" w:fill="FFFFFF"/>
            <w:tcMar>
              <w:top w:w="80" w:type="dxa"/>
              <w:left w:w="85" w:type="dxa"/>
              <w:bottom w:w="80" w:type="dxa"/>
              <w:right w:w="85" w:type="dxa"/>
            </w:tcMar>
            <w:vAlign w:val="center"/>
          </w:tcPr>
          <w:p w14:paraId="5B61ECD9" w14:textId="77777777" w:rsidR="00D84A52" w:rsidRDefault="00000000">
            <w:pPr>
              <w:keepLines/>
              <w:spacing w:after="20" w:line="240" w:lineRule="auto"/>
              <w:jc w:val="left"/>
            </w:pPr>
            <w:r>
              <w:rPr>
                <w:sz w:val="20"/>
              </w:rPr>
              <w:t>Allocate measurements without silently changing preferences</w:t>
            </w:r>
          </w:p>
        </w:tc>
        <w:tc>
          <w:tcPr>
            <w:tcW w:w="2880" w:type="dxa"/>
            <w:shd w:val="clear" w:color="auto" w:fill="FFFFFF"/>
            <w:tcMar>
              <w:top w:w="80" w:type="dxa"/>
              <w:left w:w="85" w:type="dxa"/>
              <w:bottom w:w="80" w:type="dxa"/>
              <w:right w:w="85" w:type="dxa"/>
            </w:tcMar>
            <w:vAlign w:val="center"/>
          </w:tcPr>
          <w:p w14:paraId="56C8222A" w14:textId="77777777" w:rsidR="00D84A52" w:rsidRDefault="00000000">
            <w:pPr>
              <w:keepLines/>
              <w:spacing w:after="20" w:line="240" w:lineRule="auto"/>
              <w:jc w:val="left"/>
            </w:pPr>
            <w:r>
              <w:rPr>
                <w:sz w:val="20"/>
              </w:rPr>
              <w:t>Confidence as a universal positive utility weight</w:t>
            </w:r>
          </w:p>
        </w:tc>
      </w:tr>
    </w:tbl>
    <w:p w14:paraId="0A77D6FE" w14:textId="77777777" w:rsidR="00D84A52" w:rsidRDefault="00000000">
      <w:pPr>
        <w:pStyle w:val="BodyText"/>
        <w:spacing w:before="140"/>
      </w:pPr>
      <w:r>
        <w:t>These findings motivate experiments rather than validate the entire framework. A useful ablation holds the task set, declared preferences, numerical proposals, and evaluation budget fixed while comparing uniform response acquisition with a calibrated uncertainty-based acquisition rule. A second varies the fusion rule with frozen scales and identical response vectors. The two interventions test measurement allocation and preference aggregation separately.</w:t>
      </w:r>
    </w:p>
    <w:p w14:paraId="327F753D" w14:textId="77777777" w:rsidR="00D84A52" w:rsidRDefault="00000000">
      <w:pPr>
        <w:pStyle w:val="Heading1"/>
      </w:pPr>
      <w:bookmarkStart w:id="42" w:name="X2950b759e0ccafd9f67cfc8a6f2c75e225297e6"/>
      <w:bookmarkEnd w:id="39"/>
      <w:bookmarkEnd w:id="41"/>
      <w:r>
        <w:lastRenderedPageBreak/>
        <w:t>11 An AI harness for construction objectives</w:t>
      </w:r>
    </w:p>
    <w:p w14:paraId="5EC16A05" w14:textId="77777777" w:rsidR="00D84A52" w:rsidRDefault="00000000">
      <w:pPr>
        <w:pStyle w:val="Heading2"/>
      </w:pPr>
      <w:bookmarkStart w:id="43" w:name="Xdf1371ae9fa640deab04f8c1f5306f8c26f5941"/>
      <w:r>
        <w:t>11.1 Fixed model weights and an evolving runtime</w:t>
      </w:r>
    </w:p>
    <w:p w14:paraId="3D0D18E2" w14:textId="77777777" w:rsidR="00D84A52" w:rsidRDefault="00000000">
      <w:pPr>
        <w:pStyle w:val="FirstParagraph"/>
      </w:pPr>
      <w:r>
        <w:t>Self-Evolving Agent Harness studies adaptation of the environment around a fixed model [16]. Harmony Harness explicitly addresses multiple objectives in harness evolution [17]. These recent preprints supply an architectural comparison: executable orchestration can change while the underlying model remains fixed. The construction framework here applies that separation to numerical design and verification; it does not reproduce their experimental results.</w:t>
      </w:r>
    </w:p>
    <w:p w14:paraId="3A80727D" w14:textId="77777777" w:rsidR="00D84A52" w:rsidRDefault="00000000">
      <w:pPr>
        <w:pStyle w:val="BodyText"/>
      </w:pPr>
      <w:r>
        <w:t>Harmony Harness maintains preference-indexed subproblems using weighted Tchebycheff shortfalls and separates general-purpose from environment-specific modifications [17]. Its running ideal point belongs to the adaptive search state. The fixed-target results in this paper apply when the relevant references are frozen, or when a separate uniform-family argument justifies their selection. Preference-indexed harness search and density estimation from its records require different guarantees.</w:t>
      </w:r>
    </w:p>
    <w:p w14:paraId="6CB4FDD3" w14:textId="77777777" w:rsidR="00D84A52" w:rsidRDefault="00000000">
      <w:pPr>
        <w:pStyle w:val="BodyText"/>
        <w:keepNext/>
      </w:pPr>
      <w:r>
        <w:t xml:space="preserve">Let </w:t>
      </w:r>
      <m:oMath>
        <m:r>
          <w:rPr>
            <w:rFonts w:ascii="Cambria Math" w:hAnsi="Cambria Math"/>
          </w:rPr>
          <m:t>θ</m:t>
        </m:r>
      </m:oMath>
      <w:r>
        <w:t xml:space="preserve"> be the fixed backbone weights,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the executable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current task state. A structured action and observation update obeys</w:t>
      </w:r>
    </w:p>
    <w:p w14:paraId="767A6E60" w14:textId="77777777" w:rsidR="00D84A52"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cr m:val="script"/>
              <m:sty m:val="p"/>
            </m:rPr>
            <w:rPr>
              <w:rFonts w:ascii="Cambria Math" w:hAnsi="Cambria Math"/>
            </w:rPr>
            <m:t>∼E</m:t>
          </m:r>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xml:space="preserve">    (25)</m:t>
          </m:r>
        </m:oMath>
      </m:oMathPara>
    </w:p>
    <w:p w14:paraId="51E95A47" w14:textId="77777777" w:rsidR="00D84A52" w:rsidRDefault="00000000">
      <w:pPr>
        <w:pStyle w:val="FirstParagraph"/>
      </w:pPr>
      <w:r>
        <w:t xml:space="preserve">Autoregression at token level appends a generated token to context. At harness level, the old state, proposed action, and observed consequence produce a structured new state. This does not imply vector addition or a change in </w:t>
      </w:r>
      <m:oMath>
        <m:r>
          <w:rPr>
            <w:rFonts w:ascii="Cambria Math" w:hAnsi="Cambria Math"/>
          </w:rPr>
          <m:t>θ</m:t>
        </m:r>
      </m:oMath>
      <w:r>
        <w:t xml:space="preserve">. An accepted harness revision changes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ordinary execution changes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Prompts, tools, memory, workspace, runtime, guardrails, and verification are functional modules, not physical layers added to a pretrained GPT network.</w:t>
      </w:r>
    </w:p>
    <w:p w14:paraId="003923F3" w14:textId="77777777" w:rsidR="00D84A52" w:rsidRDefault="00000000">
      <w:pPr>
        <w:pStyle w:val="Caption"/>
        <w:keepNext/>
      </w:pPr>
      <w:r>
        <w:t>Table 7. Objective channels and harness responsibilities.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232"/>
        <w:gridCol w:w="4896"/>
        <w:gridCol w:w="2808"/>
      </w:tblGrid>
      <w:tr w:rsidR="00D84A52" w14:paraId="3E930990" w14:textId="77777777">
        <w:trPr>
          <w:cantSplit/>
          <w:tblHeader/>
          <w:jc w:val="center"/>
        </w:trPr>
        <w:tc>
          <w:tcPr>
            <w:tcW w:w="2232" w:type="dxa"/>
            <w:shd w:val="clear" w:color="auto" w:fill="E8E8E8"/>
            <w:tcMar>
              <w:top w:w="80" w:type="dxa"/>
              <w:left w:w="85" w:type="dxa"/>
              <w:bottom w:w="80" w:type="dxa"/>
              <w:right w:w="85" w:type="dxa"/>
            </w:tcMar>
            <w:vAlign w:val="center"/>
          </w:tcPr>
          <w:p w14:paraId="2B24BFB3" w14:textId="77777777" w:rsidR="00D84A52" w:rsidRDefault="00000000">
            <w:pPr>
              <w:keepNext/>
              <w:keepLines/>
              <w:spacing w:after="20" w:line="240" w:lineRule="auto"/>
              <w:jc w:val="left"/>
            </w:pPr>
            <w:r>
              <w:rPr>
                <w:b/>
                <w:sz w:val="20"/>
              </w:rPr>
              <w:t>Harness component</w:t>
            </w:r>
          </w:p>
        </w:tc>
        <w:tc>
          <w:tcPr>
            <w:tcW w:w="4896" w:type="dxa"/>
            <w:shd w:val="clear" w:color="auto" w:fill="E8E8E8"/>
            <w:tcMar>
              <w:top w:w="80" w:type="dxa"/>
              <w:left w:w="85" w:type="dxa"/>
              <w:bottom w:w="80" w:type="dxa"/>
              <w:right w:w="85" w:type="dxa"/>
            </w:tcMar>
            <w:vAlign w:val="center"/>
          </w:tcPr>
          <w:p w14:paraId="3BDB0621" w14:textId="77777777" w:rsidR="00D84A52" w:rsidRDefault="00000000">
            <w:pPr>
              <w:keepNext/>
              <w:keepLines/>
              <w:spacing w:after="20" w:line="240" w:lineRule="auto"/>
              <w:jc w:val="left"/>
            </w:pPr>
            <w:r>
              <w:rPr>
                <w:b/>
                <w:sz w:val="20"/>
              </w:rPr>
              <w:t>Construction workflow responsibility</w:t>
            </w:r>
          </w:p>
        </w:tc>
        <w:tc>
          <w:tcPr>
            <w:tcW w:w="2808" w:type="dxa"/>
            <w:shd w:val="clear" w:color="auto" w:fill="E8E8E8"/>
            <w:tcMar>
              <w:top w:w="80" w:type="dxa"/>
              <w:left w:w="85" w:type="dxa"/>
              <w:bottom w:w="80" w:type="dxa"/>
              <w:right w:w="85" w:type="dxa"/>
            </w:tcMar>
            <w:vAlign w:val="center"/>
          </w:tcPr>
          <w:p w14:paraId="5C86E884" w14:textId="77777777" w:rsidR="00D84A52" w:rsidRDefault="00000000">
            <w:pPr>
              <w:keepNext/>
              <w:keepLines/>
              <w:spacing w:after="20" w:line="240" w:lineRule="auto"/>
              <w:jc w:val="left"/>
            </w:pPr>
            <w:r>
              <w:rPr>
                <w:b/>
                <w:sz w:val="20"/>
              </w:rPr>
              <w:t>Relevant mathematical object</w:t>
            </w:r>
          </w:p>
        </w:tc>
      </w:tr>
      <w:tr w:rsidR="00D84A52" w14:paraId="739A8EE1" w14:textId="77777777">
        <w:trPr>
          <w:cantSplit/>
          <w:jc w:val="center"/>
        </w:trPr>
        <w:tc>
          <w:tcPr>
            <w:tcW w:w="2232" w:type="dxa"/>
            <w:shd w:val="clear" w:color="auto" w:fill="FFFFFF"/>
            <w:tcMar>
              <w:top w:w="80" w:type="dxa"/>
              <w:left w:w="85" w:type="dxa"/>
              <w:bottom w:w="80" w:type="dxa"/>
              <w:right w:w="85" w:type="dxa"/>
            </w:tcMar>
            <w:vAlign w:val="center"/>
          </w:tcPr>
          <w:p w14:paraId="29E2AB96" w14:textId="77777777" w:rsidR="00D84A52" w:rsidRDefault="00000000">
            <w:pPr>
              <w:keepLines/>
              <w:spacing w:after="20" w:line="240" w:lineRule="auto"/>
              <w:jc w:val="left"/>
            </w:pPr>
            <w:r>
              <w:rPr>
                <w:sz w:val="20"/>
              </w:rPr>
              <w:t>Prompts and knowledge bases</w:t>
            </w:r>
          </w:p>
        </w:tc>
        <w:tc>
          <w:tcPr>
            <w:tcW w:w="4896" w:type="dxa"/>
            <w:shd w:val="clear" w:color="auto" w:fill="FFFFFF"/>
            <w:tcMar>
              <w:top w:w="80" w:type="dxa"/>
              <w:left w:w="85" w:type="dxa"/>
              <w:bottom w:w="80" w:type="dxa"/>
              <w:right w:w="85" w:type="dxa"/>
            </w:tcMar>
            <w:vAlign w:val="center"/>
          </w:tcPr>
          <w:p w14:paraId="77DD5DE6" w14:textId="77777777" w:rsidR="00D84A52" w:rsidRDefault="00000000">
            <w:pPr>
              <w:keepLines/>
              <w:spacing w:after="20" w:line="240" w:lineRule="auto"/>
              <w:jc w:val="left"/>
            </w:pPr>
            <w:r>
              <w:rPr>
                <w:sz w:val="20"/>
              </w:rPr>
              <w:t>Retrieve brief, code clauses, catalog data, units, and provenance</w:t>
            </w:r>
          </w:p>
        </w:tc>
        <w:tc>
          <w:tcPr>
            <w:tcW w:w="2808" w:type="dxa"/>
            <w:shd w:val="clear" w:color="auto" w:fill="FFFFFF"/>
            <w:tcMar>
              <w:top w:w="80" w:type="dxa"/>
              <w:left w:w="85" w:type="dxa"/>
              <w:bottom w:w="80" w:type="dxa"/>
              <w:right w:w="85" w:type="dxa"/>
            </w:tcMar>
            <w:vAlign w:val="center"/>
          </w:tcPr>
          <w:p w14:paraId="02683A8B" w14:textId="77777777" w:rsidR="00D84A52" w:rsidRDefault="00000000">
            <w:pPr>
              <w:keepLines/>
              <w:spacing w:after="20" w:line="240" w:lineRule="auto"/>
              <w:jc w:val="left"/>
            </w:pPr>
            <w:r>
              <w:rPr>
                <w:sz w:val="20"/>
              </w:rPr>
              <w:t>Fixed objective and constraint definitions</w:t>
            </w:r>
          </w:p>
        </w:tc>
      </w:tr>
      <w:tr w:rsidR="00D84A52" w14:paraId="20DA15B3" w14:textId="77777777">
        <w:trPr>
          <w:cantSplit/>
          <w:jc w:val="center"/>
        </w:trPr>
        <w:tc>
          <w:tcPr>
            <w:tcW w:w="2232" w:type="dxa"/>
            <w:shd w:val="clear" w:color="auto" w:fill="FFFFFF"/>
            <w:tcMar>
              <w:top w:w="80" w:type="dxa"/>
              <w:left w:w="85" w:type="dxa"/>
              <w:bottom w:w="80" w:type="dxa"/>
              <w:right w:w="85" w:type="dxa"/>
            </w:tcMar>
            <w:vAlign w:val="center"/>
          </w:tcPr>
          <w:p w14:paraId="0B684A46" w14:textId="77777777" w:rsidR="00D84A52" w:rsidRDefault="00000000">
            <w:pPr>
              <w:keepLines/>
              <w:spacing w:after="20" w:line="240" w:lineRule="auto"/>
              <w:jc w:val="left"/>
            </w:pPr>
            <w:r>
              <w:rPr>
                <w:sz w:val="20"/>
              </w:rPr>
              <w:t>Tools</w:t>
            </w:r>
          </w:p>
        </w:tc>
        <w:tc>
          <w:tcPr>
            <w:tcW w:w="4896" w:type="dxa"/>
            <w:shd w:val="clear" w:color="auto" w:fill="FFFFFF"/>
            <w:tcMar>
              <w:top w:w="80" w:type="dxa"/>
              <w:left w:w="85" w:type="dxa"/>
              <w:bottom w:w="80" w:type="dxa"/>
              <w:right w:w="85" w:type="dxa"/>
            </w:tcMar>
            <w:vAlign w:val="center"/>
          </w:tcPr>
          <w:p w14:paraId="3AF625A3" w14:textId="77777777" w:rsidR="00D84A52" w:rsidRDefault="00000000">
            <w:pPr>
              <w:keepLines/>
              <w:spacing w:after="20" w:line="240" w:lineRule="auto"/>
              <w:jc w:val="left"/>
            </w:pPr>
            <w:r>
              <w:rPr>
                <w:sz w:val="20"/>
              </w:rPr>
              <w:t>Execute geometry, analysis, costing, carbon, and schedule calculations</w:t>
            </w:r>
          </w:p>
        </w:tc>
        <w:tc>
          <w:tcPr>
            <w:tcW w:w="2808" w:type="dxa"/>
            <w:shd w:val="clear" w:color="auto" w:fill="FFFFFF"/>
            <w:tcMar>
              <w:top w:w="80" w:type="dxa"/>
              <w:left w:w="85" w:type="dxa"/>
              <w:bottom w:w="80" w:type="dxa"/>
              <w:right w:w="85" w:type="dxa"/>
            </w:tcMar>
            <w:vAlign w:val="center"/>
          </w:tcPr>
          <w:p w14:paraId="100EBFA0" w14:textId="77777777" w:rsidR="00D84A52" w:rsidRDefault="00000000">
            <w:pPr>
              <w:keepLines/>
              <w:spacing w:after="20" w:line="240" w:lineRule="auto"/>
              <w:jc w:val="left"/>
            </w:pPr>
            <w:r>
              <w:rPr>
                <w:sz w:val="20"/>
              </w:rPr>
              <w:t>Versioned response vector and availability mask</w:t>
            </w:r>
          </w:p>
        </w:tc>
      </w:tr>
      <w:tr w:rsidR="00D84A52" w14:paraId="42030784" w14:textId="77777777">
        <w:trPr>
          <w:cantSplit/>
          <w:jc w:val="center"/>
        </w:trPr>
        <w:tc>
          <w:tcPr>
            <w:tcW w:w="2232" w:type="dxa"/>
            <w:shd w:val="clear" w:color="auto" w:fill="FFFFFF"/>
            <w:tcMar>
              <w:top w:w="80" w:type="dxa"/>
              <w:left w:w="85" w:type="dxa"/>
              <w:bottom w:w="80" w:type="dxa"/>
              <w:right w:w="85" w:type="dxa"/>
            </w:tcMar>
            <w:vAlign w:val="center"/>
          </w:tcPr>
          <w:p w14:paraId="697F2CD2" w14:textId="77777777" w:rsidR="00D84A52" w:rsidRDefault="00000000">
            <w:pPr>
              <w:keepLines/>
              <w:spacing w:after="20" w:line="240" w:lineRule="auto"/>
              <w:jc w:val="left"/>
            </w:pPr>
            <w:r>
              <w:rPr>
                <w:sz w:val="20"/>
              </w:rPr>
              <w:t>Memory and workspace</w:t>
            </w:r>
          </w:p>
        </w:tc>
        <w:tc>
          <w:tcPr>
            <w:tcW w:w="4896" w:type="dxa"/>
            <w:shd w:val="clear" w:color="auto" w:fill="FFFFFF"/>
            <w:tcMar>
              <w:top w:w="80" w:type="dxa"/>
              <w:left w:w="85" w:type="dxa"/>
              <w:bottom w:w="80" w:type="dxa"/>
              <w:right w:w="85" w:type="dxa"/>
            </w:tcMar>
            <w:vAlign w:val="center"/>
          </w:tcPr>
          <w:p w14:paraId="4EE7685A" w14:textId="77777777" w:rsidR="00D84A52" w:rsidRDefault="00000000">
            <w:pPr>
              <w:keepLines/>
              <w:spacing w:after="20" w:line="240" w:lineRule="auto"/>
              <w:jc w:val="left"/>
            </w:pPr>
            <w:r>
              <w:rPr>
                <w:sz w:val="20"/>
              </w:rPr>
              <w:t>Retain states, compatible responses, artifacts, and sampling provenance</w:t>
            </w:r>
          </w:p>
        </w:tc>
        <w:tc>
          <w:tcPr>
            <w:tcW w:w="2808" w:type="dxa"/>
            <w:shd w:val="clear" w:color="auto" w:fill="FFFFFF"/>
            <w:tcMar>
              <w:top w:w="80" w:type="dxa"/>
              <w:left w:w="85" w:type="dxa"/>
              <w:bottom w:w="80" w:type="dxa"/>
              <w:right w:w="85" w:type="dxa"/>
            </w:tcMar>
            <w:vAlign w:val="center"/>
          </w:tcPr>
          <w:p w14:paraId="1E9B2C66" w14:textId="77777777" w:rsidR="00D84A52" w:rsidRDefault="00000000">
            <w:pPr>
              <w:keepLines/>
              <w:spacing w:after="20" w:line="240" w:lineRule="auto"/>
              <w:jc w:val="left"/>
            </w:pPr>
            <w:r>
              <w:rPr>
                <w:sz w:val="20"/>
              </w:rPr>
              <w:t>Shared archive and reference law</w:t>
            </w:r>
          </w:p>
        </w:tc>
      </w:tr>
      <w:tr w:rsidR="00D84A52" w14:paraId="79682F86" w14:textId="77777777">
        <w:trPr>
          <w:cantSplit/>
          <w:jc w:val="center"/>
        </w:trPr>
        <w:tc>
          <w:tcPr>
            <w:tcW w:w="2232" w:type="dxa"/>
            <w:shd w:val="clear" w:color="auto" w:fill="FFFFFF"/>
            <w:tcMar>
              <w:top w:w="80" w:type="dxa"/>
              <w:left w:w="85" w:type="dxa"/>
              <w:bottom w:w="80" w:type="dxa"/>
              <w:right w:w="85" w:type="dxa"/>
            </w:tcMar>
            <w:vAlign w:val="center"/>
          </w:tcPr>
          <w:p w14:paraId="09443137" w14:textId="77777777" w:rsidR="00D84A52" w:rsidRDefault="00000000">
            <w:pPr>
              <w:keepLines/>
              <w:spacing w:after="20" w:line="240" w:lineRule="auto"/>
              <w:jc w:val="left"/>
            </w:pPr>
            <w:r>
              <w:rPr>
                <w:sz w:val="20"/>
              </w:rPr>
              <w:t>Executable component and runtime</w:t>
            </w:r>
          </w:p>
        </w:tc>
        <w:tc>
          <w:tcPr>
            <w:tcW w:w="4896" w:type="dxa"/>
            <w:shd w:val="clear" w:color="auto" w:fill="FFFFFF"/>
            <w:tcMar>
              <w:top w:w="80" w:type="dxa"/>
              <w:left w:w="85" w:type="dxa"/>
              <w:bottom w:w="80" w:type="dxa"/>
              <w:right w:w="85" w:type="dxa"/>
            </w:tcMar>
            <w:vAlign w:val="center"/>
          </w:tcPr>
          <w:p w14:paraId="1820D1CA" w14:textId="77777777" w:rsidR="00D84A52" w:rsidRDefault="00000000">
            <w:pPr>
              <w:keepLines/>
              <w:spacing w:after="20" w:line="240" w:lineRule="auto"/>
              <w:jc w:val="left"/>
            </w:pPr>
            <w:r>
              <w:rPr>
                <w:sz w:val="20"/>
              </w:rPr>
              <w:t>Generate known numerical proposals and coordinate solver jobs</w:t>
            </w:r>
          </w:p>
        </w:tc>
        <w:tc>
          <w:tcPr>
            <w:tcW w:w="2808" w:type="dxa"/>
            <w:shd w:val="clear" w:color="auto" w:fill="FFFFFF"/>
            <w:tcMar>
              <w:top w:w="80" w:type="dxa"/>
              <w:left w:w="85" w:type="dxa"/>
              <w:bottom w:w="80" w:type="dxa"/>
              <w:right w:w="85" w:type="dxa"/>
            </w:tcMar>
            <w:vAlign w:val="center"/>
          </w:tcPr>
          <w:p w14:paraId="3E1CFECF" w14:textId="77777777" w:rsidR="00D84A52" w:rsidRDefault="00000000">
            <w:pPr>
              <w:keepLines/>
              <w:spacing w:after="20" w:line="240" w:lineRule="auto"/>
              <w:jc w:val="left"/>
            </w:pPr>
            <w:r>
              <w:rPr>
                <w:sz w:val="20"/>
              </w:rPr>
              <w:t xml:space="preserve">Actual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0"/>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0"/>
              </w:rPr>
              <w:t>, and observation protocol</w:t>
            </w:r>
          </w:p>
        </w:tc>
      </w:tr>
      <w:tr w:rsidR="00D84A52" w14:paraId="38042D4E" w14:textId="77777777">
        <w:trPr>
          <w:cantSplit/>
          <w:jc w:val="center"/>
        </w:trPr>
        <w:tc>
          <w:tcPr>
            <w:tcW w:w="2232" w:type="dxa"/>
            <w:shd w:val="clear" w:color="auto" w:fill="FFFFFF"/>
            <w:tcMar>
              <w:top w:w="80" w:type="dxa"/>
              <w:left w:w="85" w:type="dxa"/>
              <w:bottom w:w="80" w:type="dxa"/>
              <w:right w:w="85" w:type="dxa"/>
            </w:tcMar>
            <w:vAlign w:val="center"/>
          </w:tcPr>
          <w:p w14:paraId="2CF43033" w14:textId="77777777" w:rsidR="00D84A52" w:rsidRDefault="00000000">
            <w:pPr>
              <w:keepLines/>
              <w:spacing w:after="20" w:line="240" w:lineRule="auto"/>
              <w:jc w:val="left"/>
            </w:pPr>
            <w:r>
              <w:rPr>
                <w:sz w:val="20"/>
              </w:rPr>
              <w:t>Guardrails</w:t>
            </w:r>
          </w:p>
        </w:tc>
        <w:tc>
          <w:tcPr>
            <w:tcW w:w="4896" w:type="dxa"/>
            <w:shd w:val="clear" w:color="auto" w:fill="FFFFFF"/>
            <w:tcMar>
              <w:top w:w="80" w:type="dxa"/>
              <w:left w:w="85" w:type="dxa"/>
              <w:bottom w:w="80" w:type="dxa"/>
              <w:right w:w="85" w:type="dxa"/>
            </w:tcMar>
            <w:vAlign w:val="center"/>
          </w:tcPr>
          <w:p w14:paraId="2EE9EC92" w14:textId="77777777" w:rsidR="00D84A52" w:rsidRDefault="00000000">
            <w:pPr>
              <w:keepLines/>
              <w:spacing w:after="20" w:line="240" w:lineRule="auto"/>
              <w:jc w:val="left"/>
            </w:pPr>
            <w:r>
              <w:rPr>
                <w:sz w:val="20"/>
              </w:rPr>
              <w:t>Enforce schemas, permissions, unit contracts, and valid actions</w:t>
            </w:r>
          </w:p>
        </w:tc>
        <w:tc>
          <w:tcPr>
            <w:tcW w:w="2808" w:type="dxa"/>
            <w:shd w:val="clear" w:color="auto" w:fill="FFFFFF"/>
            <w:tcMar>
              <w:top w:w="80" w:type="dxa"/>
              <w:left w:w="85" w:type="dxa"/>
              <w:bottom w:w="80" w:type="dxa"/>
              <w:right w:w="85" w:type="dxa"/>
            </w:tcMar>
            <w:vAlign w:val="center"/>
          </w:tcPr>
          <w:p w14:paraId="5F2560EC" w14:textId="77777777" w:rsidR="00D84A52" w:rsidRDefault="00000000">
            <w:pPr>
              <w:keepLines/>
              <w:spacing w:after="20" w:line="240" w:lineRule="auto"/>
              <w:jc w:val="left"/>
            </w:pPr>
            <w:r>
              <w:rPr>
                <w:sz w:val="20"/>
              </w:rPr>
              <w:t>Admissible transitions and input checks</w:t>
            </w:r>
          </w:p>
        </w:tc>
      </w:tr>
      <w:tr w:rsidR="00D84A52" w14:paraId="073BABB9" w14:textId="77777777">
        <w:trPr>
          <w:cantSplit/>
          <w:jc w:val="center"/>
        </w:trPr>
        <w:tc>
          <w:tcPr>
            <w:tcW w:w="2232" w:type="dxa"/>
            <w:shd w:val="clear" w:color="auto" w:fill="FFFFFF"/>
            <w:tcMar>
              <w:top w:w="80" w:type="dxa"/>
              <w:left w:w="85" w:type="dxa"/>
              <w:bottom w:w="80" w:type="dxa"/>
              <w:right w:w="85" w:type="dxa"/>
            </w:tcMar>
            <w:vAlign w:val="center"/>
          </w:tcPr>
          <w:p w14:paraId="134ACE93" w14:textId="77777777" w:rsidR="00D84A52" w:rsidRDefault="00000000">
            <w:pPr>
              <w:keepLines/>
              <w:spacing w:after="20" w:line="240" w:lineRule="auto"/>
              <w:jc w:val="left"/>
            </w:pPr>
            <w:r>
              <w:rPr>
                <w:sz w:val="20"/>
              </w:rPr>
              <w:t>Reason Act Observe loop</w:t>
            </w:r>
          </w:p>
        </w:tc>
        <w:tc>
          <w:tcPr>
            <w:tcW w:w="4896" w:type="dxa"/>
            <w:shd w:val="clear" w:color="auto" w:fill="FFFFFF"/>
            <w:tcMar>
              <w:top w:w="80" w:type="dxa"/>
              <w:left w:w="85" w:type="dxa"/>
              <w:bottom w:w="80" w:type="dxa"/>
              <w:right w:w="85" w:type="dxa"/>
            </w:tcMar>
            <w:vAlign w:val="center"/>
          </w:tcPr>
          <w:p w14:paraId="37E38A96" w14:textId="77777777" w:rsidR="00D84A52" w:rsidRDefault="00000000">
            <w:pPr>
              <w:keepLines/>
              <w:spacing w:after="20" w:line="240" w:lineRule="auto"/>
              <w:jc w:val="left"/>
            </w:pPr>
            <w:r>
              <w:rPr>
                <w:sz w:val="20"/>
              </w:rPr>
              <w:t>Select a proposal, perform an allowed action, update state</w:t>
            </w:r>
          </w:p>
        </w:tc>
        <w:tc>
          <w:tcPr>
            <w:tcW w:w="2808" w:type="dxa"/>
            <w:shd w:val="clear" w:color="auto" w:fill="FFFFFF"/>
            <w:tcMar>
              <w:top w:w="80" w:type="dxa"/>
              <w:left w:w="85" w:type="dxa"/>
              <w:bottom w:w="80" w:type="dxa"/>
              <w:right w:w="85" w:type="dxa"/>
            </w:tcMar>
            <w:vAlign w:val="center"/>
          </w:tcPr>
          <w:p w14:paraId="2F486446" w14:textId="77777777" w:rsidR="00D84A52" w:rsidRDefault="00000000">
            <w:pPr>
              <w:keepLines/>
              <w:spacing w:after="20" w:line="240" w:lineRule="auto"/>
              <w:jc w:val="left"/>
            </w:pPr>
            <w:r>
              <w:rPr>
                <w:sz w:val="20"/>
              </w:rPr>
              <w:t>Predictable adaptation and (25)</w:t>
            </w:r>
          </w:p>
        </w:tc>
      </w:tr>
      <w:tr w:rsidR="00D84A52" w14:paraId="34D8F13F" w14:textId="77777777">
        <w:trPr>
          <w:cantSplit/>
          <w:jc w:val="center"/>
        </w:trPr>
        <w:tc>
          <w:tcPr>
            <w:tcW w:w="2232" w:type="dxa"/>
            <w:shd w:val="clear" w:color="auto" w:fill="FFFFFF"/>
            <w:tcMar>
              <w:top w:w="80" w:type="dxa"/>
              <w:left w:w="85" w:type="dxa"/>
              <w:bottom w:w="80" w:type="dxa"/>
              <w:right w:w="85" w:type="dxa"/>
            </w:tcMar>
            <w:vAlign w:val="center"/>
          </w:tcPr>
          <w:p w14:paraId="173786F7" w14:textId="77777777" w:rsidR="00D84A52" w:rsidRDefault="00000000">
            <w:pPr>
              <w:keepLines/>
              <w:spacing w:after="20" w:line="240" w:lineRule="auto"/>
              <w:jc w:val="left"/>
            </w:pPr>
            <w:r>
              <w:rPr>
                <w:sz w:val="20"/>
              </w:rPr>
              <w:t>Evaluation</w:t>
            </w:r>
          </w:p>
        </w:tc>
        <w:tc>
          <w:tcPr>
            <w:tcW w:w="4896" w:type="dxa"/>
            <w:shd w:val="clear" w:color="auto" w:fill="FFFFFF"/>
            <w:tcMar>
              <w:top w:w="80" w:type="dxa"/>
              <w:left w:w="85" w:type="dxa"/>
              <w:bottom w:w="80" w:type="dxa"/>
              <w:right w:w="85" w:type="dxa"/>
            </w:tcMar>
            <w:vAlign w:val="center"/>
          </w:tcPr>
          <w:p w14:paraId="48417265" w14:textId="77777777" w:rsidR="00D84A52" w:rsidRDefault="00000000">
            <w:pPr>
              <w:keepLines/>
              <w:spacing w:after="20" w:line="240" w:lineRule="auto"/>
              <w:jc w:val="left"/>
            </w:pPr>
            <w:r>
              <w:rPr>
                <w:sz w:val="20"/>
              </w:rPr>
              <w:t>Score preferences and maintain nondominated feasible records</w:t>
            </w:r>
          </w:p>
        </w:tc>
        <w:tc>
          <w:tcPr>
            <w:tcW w:w="2808" w:type="dxa"/>
            <w:shd w:val="clear" w:color="auto" w:fill="FFFFFF"/>
            <w:tcMar>
              <w:top w:w="80" w:type="dxa"/>
              <w:left w:w="85" w:type="dxa"/>
              <w:bottom w:w="80" w:type="dxa"/>
              <w:right w:w="85" w:type="dxa"/>
            </w:tcMar>
            <w:vAlign w:val="center"/>
          </w:tcPr>
          <w:p w14:paraId="11CE5D2B" w14:textId="77777777" w:rsidR="00D84A52" w:rsidRDefault="00000000">
            <w:pPr>
              <w:keepLines/>
              <w:spacing w:after="20" w:line="240" w:lineRule="auto"/>
              <w:jc w:val="left"/>
            </w:pPr>
            <w:r>
              <w:rPr>
                <w:sz w:val="20"/>
              </w:rPr>
              <w:t>Scalar or mixture targets and archive metrics</w:t>
            </w:r>
          </w:p>
        </w:tc>
      </w:tr>
      <w:tr w:rsidR="00D84A52" w14:paraId="4B3E2C9C" w14:textId="77777777">
        <w:trPr>
          <w:cantSplit/>
          <w:jc w:val="center"/>
        </w:trPr>
        <w:tc>
          <w:tcPr>
            <w:tcW w:w="2232" w:type="dxa"/>
            <w:shd w:val="clear" w:color="auto" w:fill="FFFFFF"/>
            <w:tcMar>
              <w:top w:w="80" w:type="dxa"/>
              <w:left w:w="85" w:type="dxa"/>
              <w:bottom w:w="80" w:type="dxa"/>
              <w:right w:w="85" w:type="dxa"/>
            </w:tcMar>
            <w:vAlign w:val="center"/>
          </w:tcPr>
          <w:p w14:paraId="01ABC154" w14:textId="77777777" w:rsidR="00D84A52" w:rsidRDefault="00000000">
            <w:pPr>
              <w:keepNext/>
              <w:keepLines/>
              <w:spacing w:after="20" w:line="240" w:lineRule="auto"/>
              <w:jc w:val="left"/>
            </w:pPr>
            <w:r>
              <w:rPr>
                <w:sz w:val="20"/>
              </w:rPr>
              <w:t>Verification gate</w:t>
            </w:r>
          </w:p>
        </w:tc>
        <w:tc>
          <w:tcPr>
            <w:tcW w:w="4896" w:type="dxa"/>
            <w:shd w:val="clear" w:color="auto" w:fill="FFFFFF"/>
            <w:tcMar>
              <w:top w:w="80" w:type="dxa"/>
              <w:left w:w="85" w:type="dxa"/>
              <w:bottom w:w="80" w:type="dxa"/>
              <w:right w:w="85" w:type="dxa"/>
            </w:tcMar>
            <w:vAlign w:val="center"/>
          </w:tcPr>
          <w:p w14:paraId="352452E9" w14:textId="77777777" w:rsidR="00D84A52" w:rsidRDefault="00000000">
            <w:pPr>
              <w:keepNext/>
              <w:keepLines/>
              <w:spacing w:after="20" w:line="240" w:lineRule="auto"/>
              <w:jc w:val="left"/>
            </w:pPr>
            <w:r>
              <w:rPr>
                <w:sz w:val="20"/>
              </w:rPr>
              <w:t>Check physical constraints and released artifacts independently</w:t>
            </w:r>
          </w:p>
        </w:tc>
        <w:tc>
          <w:tcPr>
            <w:tcW w:w="2808" w:type="dxa"/>
            <w:shd w:val="clear" w:color="auto" w:fill="FFFFFF"/>
            <w:tcMar>
              <w:top w:w="80" w:type="dxa"/>
              <w:left w:w="85" w:type="dxa"/>
              <w:bottom w:w="80" w:type="dxa"/>
              <w:right w:w="85" w:type="dxa"/>
            </w:tcMar>
            <w:vAlign w:val="center"/>
          </w:tcPr>
          <w:p w14:paraId="4D8D929B" w14:textId="77777777" w:rsidR="00D84A52" w:rsidRDefault="00000000">
            <w:pPr>
              <w:keepNext/>
              <w:keepLines/>
              <w:spacing w:after="20" w:line="240" w:lineRule="auto"/>
              <w:jc w:val="left"/>
            </w:pPr>
            <w:r>
              <w:rPr>
                <w:sz w:val="20"/>
              </w:rPr>
              <w:t>Feasibility and release decision</w:t>
            </w:r>
          </w:p>
        </w:tc>
      </w:tr>
      <w:tr w:rsidR="00D84A52" w14:paraId="732E93EF" w14:textId="77777777">
        <w:trPr>
          <w:cantSplit/>
          <w:jc w:val="center"/>
        </w:trPr>
        <w:tc>
          <w:tcPr>
            <w:tcW w:w="2232" w:type="dxa"/>
            <w:shd w:val="clear" w:color="auto" w:fill="FFFFFF"/>
            <w:tcMar>
              <w:top w:w="80" w:type="dxa"/>
              <w:left w:w="85" w:type="dxa"/>
              <w:bottom w:w="80" w:type="dxa"/>
              <w:right w:w="85" w:type="dxa"/>
            </w:tcMar>
            <w:vAlign w:val="center"/>
          </w:tcPr>
          <w:p w14:paraId="2B423085" w14:textId="77777777" w:rsidR="00D84A52" w:rsidRDefault="00000000">
            <w:pPr>
              <w:keepLines/>
              <w:spacing w:after="20" w:line="240" w:lineRule="auto"/>
              <w:jc w:val="left"/>
            </w:pPr>
            <w:r>
              <w:rPr>
                <w:sz w:val="20"/>
              </w:rPr>
              <w:t>Ablation</w:t>
            </w:r>
          </w:p>
        </w:tc>
        <w:tc>
          <w:tcPr>
            <w:tcW w:w="4896" w:type="dxa"/>
            <w:shd w:val="clear" w:color="auto" w:fill="FFFFFF"/>
            <w:tcMar>
              <w:top w:w="80" w:type="dxa"/>
              <w:left w:w="85" w:type="dxa"/>
              <w:bottom w:w="80" w:type="dxa"/>
              <w:right w:w="85" w:type="dxa"/>
            </w:tcMar>
            <w:vAlign w:val="center"/>
          </w:tcPr>
          <w:p w14:paraId="254C1B9C" w14:textId="77777777" w:rsidR="00D84A52" w:rsidRDefault="00000000">
            <w:pPr>
              <w:keepLines/>
              <w:spacing w:after="20" w:line="240" w:lineRule="auto"/>
              <w:jc w:val="left"/>
            </w:pPr>
            <w:r>
              <w:rPr>
                <w:sz w:val="20"/>
              </w:rPr>
              <w:t>Assign controlled variants to held-out task families</w:t>
            </w:r>
          </w:p>
        </w:tc>
        <w:tc>
          <w:tcPr>
            <w:tcW w:w="2808" w:type="dxa"/>
            <w:shd w:val="clear" w:color="auto" w:fill="FFFFFF"/>
            <w:tcMar>
              <w:top w:w="80" w:type="dxa"/>
              <w:left w:w="85" w:type="dxa"/>
              <w:bottom w:w="80" w:type="dxa"/>
              <w:right w:w="85" w:type="dxa"/>
            </w:tcMar>
            <w:vAlign w:val="center"/>
          </w:tcPr>
          <w:p w14:paraId="73CBF979" w14:textId="77777777" w:rsidR="00D84A52" w:rsidRDefault="00000000">
            <w:pPr>
              <w:keepLines/>
              <w:spacing w:after="20" w:line="240" w:lineRule="auto"/>
              <w:jc w:val="left"/>
            </w:pPr>
            <w:r>
              <w:rPr>
                <w:sz w:val="20"/>
              </w:rPr>
              <w:t>Evidence for a claimed harness improvement</w:t>
            </w:r>
          </w:p>
        </w:tc>
      </w:tr>
    </w:tbl>
    <w:p w14:paraId="5CEE3720" w14:textId="77777777" w:rsidR="00D84A52" w:rsidRDefault="00000000">
      <w:pPr>
        <w:pStyle w:val="Heading2"/>
      </w:pPr>
      <w:bookmarkStart w:id="44" w:name="a-typed-construction-example"/>
      <w:bookmarkEnd w:id="43"/>
      <w:r>
        <w:lastRenderedPageBreak/>
        <w:t>11.2 A typed construction example</w:t>
      </w:r>
    </w:p>
    <w:p w14:paraId="39C5B7D8" w14:textId="77777777" w:rsidR="00D84A52" w:rsidRDefault="00000000">
      <w:pPr>
        <w:pStyle w:val="FirstParagraph"/>
      </w:pPr>
      <w:r>
        <w:t>Consider a gallery state with span geometry, bracing topology, section families, material grades, joint assumptions, and load combinations. Cost, embodied carbon, and installation duration can be objectives. Utilization limits, drift limits, minimum clearances, vibration requirements, and code applicability define constraints. A versioned solver supplies measured responses; a cost database and quantity engine supply separate responses with their own provenance.</w:t>
      </w:r>
    </w:p>
    <w:p w14:paraId="712A9E8D" w14:textId="77777777" w:rsidR="00D84A52" w:rsidRDefault="00000000">
      <w:pPr>
        <w:pStyle w:val="BodyText"/>
      </w:pPr>
      <w:r>
        <w:t>An objective channel stores its raw value, units, evaluator version, availability, and any separately modeled uncertainty. Shared geometry and analysis results can support several channels without pretending those channels are independent measurements. A scalarization version stores scales, offsets, reference points, and preferences. A mixture version additionally records component normalizers or their corrected estimates. Each artifact points to the state and evaluator versions that produced it.</w:t>
      </w:r>
    </w:p>
    <w:p w14:paraId="0B117333" w14:textId="77777777" w:rsidR="00D84A52" w:rsidRDefault="00000000">
      <w:pPr>
        <w:pStyle w:val="BodyText"/>
      </w:pPr>
      <w:r>
        <w:t>The model may recommend a proposal center or choose which allowed tool to call. The numerical runtime then samples from a known defensive law, records its derivative and inclusion probability, and obtains compatible exact responses. This arrangement supplies the probability contract required by (18). A language model’s token probability is not the resulting design density after parsing, repairs, rejection, tool calls, and side effects. If that design law is unavailable, the output remains a useful suggestion but cannot silently enter the corrected estimator as a known-law sample.</w:t>
      </w:r>
    </w:p>
    <w:p w14:paraId="377D1543" w14:textId="77777777" w:rsidR="00D84A52" w:rsidRDefault="00000000">
      <w:pPr>
        <w:pStyle w:val="BodyText"/>
      </w:pPr>
      <w:r>
        <w:t>An executable repair that maps several proposals onto one catalog section can create atoms. A mixed-variable law must record probability masses and conditional continuous densities accordingly. Typed catalog sampling followed by declared continuous conditional proposals often makes this accounting easier than applying an undocumented repair after generation.</w:t>
      </w:r>
    </w:p>
    <w:p w14:paraId="54A58BD9" w14:textId="77777777" w:rsidR="00D84A52" w:rsidRDefault="00000000">
      <w:pPr>
        <w:pStyle w:val="Heading2"/>
      </w:pPr>
      <w:bookmarkStart w:id="45" w:name="X6487de30c888bdf7574ce7aeb13292475dfece3"/>
      <w:bookmarkEnd w:id="44"/>
      <w:r>
        <w:t>11.3 Preferences evidence and verification remain separate</w:t>
      </w:r>
    </w:p>
    <w:p w14:paraId="6DF2DBDF" w14:textId="77777777" w:rsidR="00D84A52" w:rsidRDefault="00000000">
      <w:pPr>
        <w:pStyle w:val="FirstParagraph"/>
      </w:pPr>
      <w:r>
        <w:t>A product-like scalar target asks for a joint compromise under one preference. A mixture target asks for probabilistic allocation among component design preferences. Chebyshev fusion controls the largest weighted shortfall. A rank-guided proposal seeks useful parts of the currently observed tradeoff set. These are distinct search policies, and none guarantees that the fused mean is a release-ready design.</w:t>
      </w:r>
    </w:p>
    <w:p w14:paraId="18E9E443" w14:textId="77777777" w:rsidR="00D84A52" w:rsidRDefault="00000000">
      <w:pPr>
        <w:pStyle w:val="BodyText"/>
      </w:pPr>
      <w:r>
        <w:t>For a finite feasible catalog, mixing head means may produce a fractional section label. Even in a continuous design domain, nonlinear constraints can fail at the mean of feasible points. The gate should therefore verify the actual proposed design and generated CAD or analysis artifact. Keep a nondominated set of verified feasible observed designs separately from posterior expectations and latent proposal centers.</w:t>
      </w:r>
    </w:p>
    <w:p w14:paraId="5FE6A7B1" w14:textId="77777777" w:rsidR="00D84A52" w:rsidRDefault="00000000">
      <w:pPr>
        <w:pStyle w:val="BodyText"/>
      </w:pPr>
      <w:r>
        <w:t>New harness versions should be compared on held-out construction task families, with the same definition of engineering success and explicit budgets. Objective channels for harness selection might include completion rate, verification pass rate, solver calls, latency, and maintenance burden. A normalized preference density over harness versions is one possible selection layer; it is not a substitute for independent validation. Data used repeatedly to tune a harness no longer provide untouched validation evidence.</w:t>
      </w:r>
    </w:p>
    <w:p w14:paraId="2EBC2AD6" w14:textId="77777777" w:rsidR="00D84A52" w:rsidRDefault="00000000">
      <w:pPr>
        <w:pStyle w:val="BodyText"/>
        <w:keepNext/>
      </w:pPr>
      <w:r>
        <w:t xml:space="preserve">Marginal pass rates also do not determine joint engineering success, a distinction emphasized in Harmony Harness [17]. If task-level pass events are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with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t>, the union bound and event inclusion give</w:t>
      </w:r>
    </w:p>
    <w:p w14:paraId="03C41F0D" w14:textId="77777777" w:rsidR="00D84A52" w:rsidRDefault="00000000">
      <w:pPr>
        <w:pStyle w:val="BodyText"/>
        <w:keepLines/>
        <w:spacing w:before="60" w:after="120"/>
        <w:jc w:val="center"/>
      </w:pPr>
      <m:oMathPara>
        <m:oMathParaPr>
          <m:jc m:val="center"/>
        </m:oMathParaPr>
        <m:oMath>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e>
          </m:d>
          <m:r>
            <m:rPr>
              <m:sty m:val="p"/>
            </m:rPr>
            <w:rPr>
              <w:rFonts w:ascii="Cambria Math" w:hAnsi="Cambria Math"/>
            </w:rPr>
            <m:t>≤Pr</m:t>
          </m:r>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m:rPr>
              <m:nor/>
            </m:rPr>
            <m:t xml:space="preserve">    (26)</m:t>
          </m:r>
        </m:oMath>
      </m:oMathPara>
    </w:p>
    <w:p w14:paraId="15E7D7E5" w14:textId="77777777" w:rsidR="00D84A52" w:rsidRDefault="00000000">
      <w:pPr>
        <w:pStyle w:val="FirstParagraph"/>
      </w:pPr>
      <w:r>
        <w:t>Two harnesses can both pass each of two checks on 80% of tasks, yet pass both on 60% and 80% respectively. Report joint completion and verification on the same tasks, alongside the marginal channels. Averaging separate tool scores does not recover this joint outcome.</w:t>
      </w:r>
    </w:p>
    <w:p w14:paraId="7A521912" w14:textId="77777777" w:rsidR="00D84A52" w:rsidRDefault="00000000">
      <w:pPr>
        <w:pStyle w:val="Heading2"/>
      </w:pPr>
      <w:bookmarkStart w:id="46" w:name="practical-execution-sequence"/>
      <w:bookmarkEnd w:id="45"/>
      <w:r>
        <w:lastRenderedPageBreak/>
        <w:t>11.4 Practical execution sequence</w:t>
      </w:r>
    </w:p>
    <w:p w14:paraId="3A98C02D" w14:textId="77777777" w:rsidR="00D84A52" w:rsidRDefault="00000000">
      <w:pPr>
        <w:pStyle w:val="FirstParagraph"/>
      </w:pPr>
      <w:r>
        <w:t xml:space="preserve">At a candidate boundary, the harness loads the current task and model versions, retrieves applicable knowledge, and selects a declared preference or proposal signal. It constructs a known proposal, draws a new design, and records the sampling law before observing the expensive responses. It then requests or reuses compatible measurements, appends an immutable masked record, and updates the feasible archive. Numerical retrieval uses the intended scalar target or normalized mixture gates. The loop continues from the updated state with </w:t>
      </w:r>
      <m:oMath>
        <m:r>
          <w:rPr>
            <w:rFonts w:ascii="Cambria Math" w:hAnsi="Cambria Math"/>
          </w:rPr>
          <m:t>θ</m:t>
        </m:r>
      </m:oMath>
      <w:r>
        <w:t xml:space="preserve"> fixed. A separate verification action checks any design and artifact proposed for release.</w:t>
      </w:r>
    </w:p>
    <w:p w14:paraId="111142E9" w14:textId="77777777" w:rsidR="00D84A52" w:rsidRDefault="00000000">
      <w:pPr>
        <w:pStyle w:val="BodyText"/>
      </w:pPr>
      <w:r>
        <w:t>This sequence permits objective reuse without conflating it with evidence reuse. Changing preferences can rescore compatible stored responses. Changing geometry interpretation, code edition, solver settings, or load semantics may require new evaluation. Memory supports automation only when the compatibility relation is part of the harness state.</w:t>
      </w:r>
    </w:p>
    <w:p w14:paraId="5E409FD6" w14:textId="77777777" w:rsidR="00D84A52" w:rsidRDefault="00000000">
      <w:pPr>
        <w:pStyle w:val="Heading1"/>
      </w:pPr>
      <w:bookmarkStart w:id="47" w:name="scope-and-conclusion"/>
      <w:bookmarkEnd w:id="42"/>
      <w:bookmarkEnd w:id="46"/>
      <w:r>
        <w:t>12 Scope and conclusion</w:t>
      </w:r>
    </w:p>
    <w:p w14:paraId="7040C19C" w14:textId="77777777" w:rsidR="00D84A52" w:rsidRDefault="00000000">
      <w:pPr>
        <w:pStyle w:val="FirstParagraph"/>
      </w:pPr>
      <w:r>
        <w:t>Interval response boxes support exact finite-catalog Pareto certificates and sharp evidence-gate bounds. Relative entropy identities distinguish scalar compromise from normalized mixtures, while covariance exposes possible instability of gated retrieval. Uniform reuse allows unbounded objectives for bounded reports; interior preferences control moments. Fixed finite ranks permit selected divergent cooling. These guarantees require their stated contracts. Retained V4 numerical outputs remain conditional source evidence, and performance evaluation of the extensions remains open.</w:t>
      </w:r>
    </w:p>
    <w:p w14:paraId="7F507AF3" w14:textId="77777777" w:rsidR="00D84A52" w:rsidRDefault="00000000">
      <w:pPr>
        <w:pStyle w:val="Heading1"/>
        <w:pageBreakBefore/>
      </w:pPr>
      <w:bookmarkStart w:id="48" w:name="X21390484244c2c069c601807084439ef3907510"/>
      <w:bookmarkEnd w:id="47"/>
      <w:r>
        <w:lastRenderedPageBreak/>
        <w:t>Appendix A Additional mathematical details</w:t>
      </w:r>
    </w:p>
    <w:p w14:paraId="4D89B117" w14:textId="77777777" w:rsidR="00D84A52" w:rsidRDefault="00000000">
      <w:pPr>
        <w:pStyle w:val="Heading2"/>
      </w:pPr>
      <w:bookmarkStart w:id="49" w:name="X844663dc6b6c6eddfb1b97c3cde9bc7a6689123"/>
      <w:r>
        <w:t>A1 Fixed families and a learned calibration phase</w:t>
      </w:r>
    </w:p>
    <w:p w14:paraId="365BA017" w14:textId="77777777" w:rsidR="00D84A52" w:rsidRDefault="00000000">
      <w:pPr>
        <w:pStyle w:val="FirstParagraph"/>
      </w:pPr>
      <w:r>
        <w:t xml:space="preserve">Theorems 6.1 and 6.2 hold for a fixed reference law and target family. If a preliminary calibration phase estimates scales or a reference set, freeze them at a finite stopping time </w:t>
      </w:r>
      <m:oMath>
        <m:r>
          <w:rPr>
            <w:rFonts w:ascii="Cambria Math" w:hAnsi="Cambria Math"/>
          </w:rPr>
          <m:t>σ</m:t>
        </m:r>
      </m:oMath>
      <w:r>
        <w:t xml:space="preserve"> and begin a fresh estimation segment. Conditional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σ</m:t>
            </m:r>
          </m:sub>
        </m:sSub>
      </m:oMath>
      <w:r>
        <w:t>, the declared values are fixed and subsequent predictable proposals satisfy the same martingale argument. The target can be random through calibration but is fixed for the subsequent segment.</w:t>
      </w:r>
    </w:p>
    <w:p w14:paraId="741958EF" w14:textId="77777777" w:rsidR="00D84A52" w:rsidRDefault="00000000">
      <w:pPr>
        <w:pStyle w:val="BodyText"/>
      </w:pPr>
      <w:r>
        <w:t>Reusing the pre-calibration records without another argument can introduce selection effects. It is justified if a uniform law already covers the entire candidate calibration family, with the required uniform envelopes and positive normalizers; otherwise use sample splitting or a separately proved method. This is more precise than claiming that adaptive scales are always invalid or that freezing them retroactively automatically repairs every estimate.</w:t>
      </w:r>
    </w:p>
    <w:p w14:paraId="0B75CD14" w14:textId="77777777" w:rsidR="00D84A52" w:rsidRDefault="00000000">
      <w:pPr>
        <w:pStyle w:val="Heading2"/>
      </w:pPr>
      <w:bookmarkStart w:id="50" w:name="Xbe41cbabc278ed60c6b672be21b036ce0414c35"/>
      <w:bookmarkEnd w:id="49"/>
      <w:r>
        <w:t>A2 Approximate responses and target perturbation</w:t>
      </w:r>
    </w:p>
    <w:p w14:paraId="41491C4E" w14:textId="77777777" w:rsidR="00D84A52" w:rsidRDefault="00000000">
      <w:pPr>
        <w:pStyle w:val="FirstParagraph"/>
      </w:pPr>
      <w:r>
        <w:t xml:space="preserve">Suppose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uniformly on the declared domain. Weighted sums have scalar error at most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while Chebyshev maxima have error at most </w:t>
      </w: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by the Lipschitz property of a maximum. These deterministic bounds can be used for a conservative constraint or error budget only when the response bounds themselves are established.</w:t>
      </w:r>
    </w:p>
    <w:p w14:paraId="2CCFC457" w14:textId="77777777" w:rsidR="00D84A52" w:rsidRDefault="00000000">
      <w:pPr>
        <w:pStyle w:val="BodyText"/>
        <w:keepNext/>
      </w:pPr>
      <w:r>
        <w:t xml:space="preserve">If </w:t>
      </w:r>
      <m:oMath>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η</m:t>
        </m:r>
      </m:oMath>
      <w:r>
        <w:t xml:space="preserve">, then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βη</m:t>
            </m:r>
          </m:sup>
        </m:sSup>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βη</m:t>
            </m:r>
          </m:sup>
        </m:sSup>
      </m:oMath>
      <w:r>
        <w:t xml:space="preserve"> and</w:t>
      </w:r>
    </w:p>
    <w:p w14:paraId="39ABF594" w14:textId="77777777" w:rsidR="00D84A52" w:rsidRDefault="00000000">
      <w:pPr>
        <w:pStyle w:val="BodyText"/>
        <w:keepLines/>
        <w:spacing w:before="60" w:after="120"/>
        <w:jc w:val="cente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2βη</m:t>
              </m:r>
            </m:sup>
          </m:sSup>
          <m:r>
            <m:rPr>
              <m:sty m:val="p"/>
            </m:rPr>
            <w:rPr>
              <w:rFonts w:ascii="Cambria Math" w:hAnsi="Cambria Math"/>
            </w:rPr>
            <m:t>≤</m:t>
          </m:r>
          <m:f>
            <m:fPr>
              <m:ctrlPr>
                <w:rPr>
                  <w:rFonts w:ascii="Cambria Math" w:hAnsi="Cambria Math"/>
                </w:rPr>
              </m:ctrlPr>
            </m:fPr>
            <m:num>
              <m:r>
                <w:rPr>
                  <w:rFonts w:ascii="Cambria Math" w:hAnsi="Cambria Math"/>
                </w:rPr>
                <m:t>d</m:t>
              </m:r>
              <m:acc>
                <m:accPr>
                  <m:ctrlPr>
                    <w:rPr>
                      <w:rFonts w:ascii="Cambria Math" w:hAnsi="Cambria Math"/>
                    </w:rPr>
                  </m:ctrlPr>
                </m:accPr>
                <m:e>
                  <m:r>
                    <w:rPr>
                      <w:rFonts w:ascii="Cambria Math" w:hAnsi="Cambria Math"/>
                    </w:rPr>
                    <m:t>π</m:t>
                  </m:r>
                </m:e>
              </m:acc>
            </m:num>
            <m:den>
              <m:r>
                <w:rPr>
                  <w:rFonts w:ascii="Cambria Math" w:hAnsi="Cambria Math"/>
                </w:rPr>
                <m:t>dπ</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m:rPr>
              <m:nor/>
            </m:rPr>
            <m:t>    </m:t>
          </m:r>
          <m:r>
            <m:rPr>
              <m:sty m:val="p"/>
            </m:rPr>
            <w:rPr>
              <w:rFonts w:ascii="Cambria Math" w:hAnsi="Cambria Math"/>
            </w:rPr>
            <m:t>∥</m:t>
          </m:r>
          <m:acc>
            <m:accPr>
              <m:ctrlPr>
                <w:rPr>
                  <w:rFonts w:ascii="Cambria Math" w:hAnsi="Cambria Math"/>
                </w:rPr>
              </m:ctrlPr>
            </m:accPr>
            <m:e>
              <m:r>
                <w:rPr>
                  <w:rFonts w:ascii="Cambria Math" w:hAnsi="Cambria Math"/>
                </w:rPr>
                <m:t>π</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w:rPr>
                      <w:rFonts w:ascii="Cambria Math" w:hAnsi="Cambria Math"/>
                    </w:rPr>
                    <m:t>1</m:t>
                  </m:r>
                </m:num>
                <m:den>
                  <m:r>
                    <w:rPr>
                      <w:rFonts w:ascii="Cambria Math" w:hAnsi="Cambria Math"/>
                    </w:rPr>
                    <m:t>2</m:t>
                  </m:r>
                </m:den>
              </m:f>
            </m:e>
          </m:d>
          <m:r>
            <m:rPr>
              <m:sty m:val="p"/>
            </m:rPr>
            <w:rPr>
              <w:rFonts w:ascii="Cambria Math" w:hAnsi="Cambria Math"/>
            </w:rPr>
            <m:t>.</m:t>
          </m:r>
          <m:r>
            <m:rPr>
              <m:nor/>
            </m:rPr>
            <m:t xml:space="preserve">    (27)</m:t>
          </m:r>
        </m:oMath>
      </m:oMathPara>
    </w:p>
    <w:p w14:paraId="14F8FC8B" w14:textId="77777777" w:rsidR="00D84A52" w:rsidRDefault="00000000">
      <w:pPr>
        <w:pStyle w:val="FirstParagraph"/>
      </w:pPr>
      <w:r>
        <w:t>The density-ratio bound follows by normalizing the two exponential tilts; integrating the absolute density difference gives the stated conservative total-variation bound. Proposition 9.1 in Section 9.6 sharpens it to tanh(βη/2), which is attained. Proposition 9.2 further removes irrelevant constant shifts. The bounds make explicit why increasing inverse temperature also increases sensitivity to response errors. It does not convert an uncalibrated surrogate into an exact observation.</w:t>
      </w:r>
    </w:p>
    <w:p w14:paraId="2EFD28CE" w14:textId="77777777" w:rsidR="00D84A52" w:rsidRDefault="00000000">
      <w:pPr>
        <w:pStyle w:val="Heading2"/>
      </w:pPr>
      <w:bookmarkStart w:id="51" w:name="X4024831e470fe8ea1a770c9c2e55416b592ce41"/>
      <w:bookmarkEnd w:id="50"/>
      <w:r>
        <w:t>A3 Finite rank levels and shared archives</w:t>
      </w:r>
    </w:p>
    <w:p w14:paraId="4113252D" w14:textId="77777777" w:rsidR="00D84A52" w:rsidRDefault="00000000">
      <w:pPr>
        <w:pStyle w:val="FirstParagraph"/>
        <w:keepNext/>
      </w:pPr>
      <w:r>
        <w:t xml:space="preserve">For Theorem 6.4, let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k</m:t>
            </m:r>
          </m:e>
        </m:d>
      </m:oMath>
      <w:r>
        <w:t xml:space="preserve">,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The martingale strong law gives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e>
        </m:d>
      </m:oMath>
      <w:r>
        <w:t xml:space="preserve"> simultaneously for the finitely many levels. The normalized estimate is exactly</w:t>
      </w:r>
    </w:p>
    <w:p w14:paraId="16860DFC" w14:textId="77777777" w:rsidR="00D84A52" w:rsidRDefault="00000000">
      <w:pPr>
        <w:pStyle w:val="BodyText"/>
        <w:keepLines/>
        <w:spacing w:before="60" w:after="12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A</m:t>
                  </m:r>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k</m:t>
                      </m:r>
                    </m:sup>
                  </m:sSup>
                </m:e>
              </m:nary>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A</m:t>
                  </m:r>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k</m:t>
                      </m:r>
                    </m:sup>
                  </m:sSup>
                </m:e>
              </m:nary>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den>
          </m:f>
          <m:r>
            <m:rPr>
              <m:sty m:val="p"/>
            </m:rPr>
            <w:rPr>
              <w:rFonts w:ascii="Cambria Math" w:hAnsi="Cambria Math"/>
            </w:rPr>
            <m:t>.</m:t>
          </m:r>
          <m:r>
            <m:rPr>
              <m:nor/>
            </m:rPr>
            <m:t xml:space="preserve">    (28)</m:t>
          </m:r>
        </m:oMath>
      </m:oMathPara>
    </w:p>
    <w:p w14:paraId="2FD33FD5" w14:textId="77777777" w:rsidR="00D84A52" w:rsidRDefault="00000000">
      <w:pPr>
        <w:pStyle w:val="FirstParagraph"/>
      </w:pPr>
      <w:r>
        <w:t>Levels below the lowest positive-mass rank contribute exactly zero almost surely. Factor out the exponential weight of that lowest level in the displayed ratio. All larger-level factors then vanish along every sample path where the selected temperature diverges, and the lowest-level denominator converges to a positive mass. This is the pathwise argument of Theorem 6.4; it needs no cooling rate. A changing reference archive changes the level sets and is outside this proof.</w:t>
      </w:r>
    </w:p>
    <w:p w14:paraId="5644AC90" w14:textId="77777777" w:rsidR="00D84A52" w:rsidRDefault="00000000">
      <w:pPr>
        <w:pStyle w:val="Heading1"/>
        <w:pageBreakBefore/>
      </w:pPr>
      <w:bookmarkStart w:id="52" w:name="appendix-b-executed-reference-kernel"/>
      <w:bookmarkEnd w:id="48"/>
      <w:bookmarkEnd w:id="51"/>
      <w:r>
        <w:lastRenderedPageBreak/>
        <w:t>Appendix B Reference kernel</w:t>
      </w:r>
    </w:p>
    <w:p w14:paraId="239CF684" w14:textId="77777777" w:rsidR="00D84A52" w:rsidRDefault="00000000">
      <w:pPr>
        <w:pStyle w:val="FirstParagraph"/>
      </w:pPr>
      <w:r>
        <w:t>The kernel below implements finite-set ranks, declared scalarizations, normalized mixture retrieval, and the two metric definitions used in the checks. It assumes finite complete response arrays, strictly positive scales, valid normalized preferences, and compatible coordinate dimensions. The calling runtime validates those contracts and supplies the actual sampling corrections. It is a numerical reference, not an end-to-end construction harness. Appendix C describes the supplied C sharp implementation of the checks in Sections 9.4–9.6.</w:t>
      </w:r>
    </w:p>
    <w:p w14:paraId="57A9F680" w14:textId="77777777" w:rsidR="00D84A52" w:rsidRDefault="00000000">
      <w:pPr>
        <w:pStyle w:val="SourceCode"/>
        <w:keepLines/>
        <w:spacing w:before="80" w:after="80"/>
        <w:rPr>
          <w:rFonts w:hint="eastAsia"/>
        </w:rPr>
      </w:pPr>
      <w:r>
        <w:t>"""Exact finite-archive utilities for objectives treated as channels."""</w:t>
      </w:r>
      <w:r>
        <w:br/>
        <w:t>import numpy as np</w:t>
      </w:r>
      <w:r>
        <w:br/>
        <w:t>from scipy.special import logsumexp</w:t>
      </w:r>
    </w:p>
    <w:p w14:paraId="2E627075" w14:textId="77777777" w:rsidR="00D84A52" w:rsidRDefault="00000000">
      <w:pPr>
        <w:pStyle w:val="SourceCode"/>
        <w:keepLines/>
        <w:spacing w:before="80" w:after="80"/>
        <w:rPr>
          <w:rFonts w:hint="eastAsia"/>
        </w:rPr>
      </w:pPr>
      <w:r>
        <w:br/>
        <w:t>def dominates(a, b):</w:t>
      </w:r>
      <w:r>
        <w:br/>
        <w:t xml:space="preserve">    return bool(np.all(a &lt;= b) and np.any(a &lt; b))</w:t>
      </w:r>
    </w:p>
    <w:p w14:paraId="1180F7D2" w14:textId="77777777" w:rsidR="00D84A52" w:rsidRDefault="00000000">
      <w:pPr>
        <w:pStyle w:val="SourceCode"/>
        <w:keepLines/>
        <w:spacing w:before="80" w:after="80"/>
        <w:rPr>
          <w:rFonts w:hint="eastAsia"/>
        </w:rPr>
      </w:pPr>
      <w:r>
        <w:br/>
        <w:t>def ranks(f):</w:t>
      </w:r>
      <w:r>
        <w:br/>
        <w:t xml:space="preserve">    f = np.asarray(f, dtype=float)</w:t>
      </w:r>
      <w:r>
        <w:br/>
        <w:t xml:space="preserve">    n = len(f)</w:t>
      </w:r>
      <w:r>
        <w:br/>
        <w:t xml:space="preserve">    edges = [[] for _ in range(n)]</w:t>
      </w:r>
      <w:r>
        <w:br/>
        <w:t xml:space="preserve">    indegree = np.zeros(n, dtype=int)</w:t>
      </w:r>
      <w:r>
        <w:br/>
        <w:t xml:space="preserve">    for i in range(n):</w:t>
      </w:r>
      <w:r>
        <w:br/>
        <w:t xml:space="preserve">        for j in range(i + 1, n):</w:t>
      </w:r>
      <w:r>
        <w:br/>
        <w:t xml:space="preserve">            if dominates(f[i], f[j]):</w:t>
      </w:r>
      <w:r>
        <w:br/>
        <w:t xml:space="preserve">                edges[i].append(j)</w:t>
      </w:r>
      <w:r>
        <w:br/>
        <w:t xml:space="preserve">                indegree[j] += 1</w:t>
      </w:r>
      <w:r>
        <w:br/>
        <w:t xml:space="preserve">            elif dominates(f[j], f[i]):</w:t>
      </w:r>
      <w:r>
        <w:br/>
        <w:t xml:space="preserve">                edges[j].append(i)</w:t>
      </w:r>
      <w:r>
        <w:br/>
        <w:t xml:space="preserve">                indegree[i] += 1</w:t>
      </w:r>
      <w:r>
        <w:br/>
        <w:t xml:space="preserve">    result = np.full(n, -1, dtype=int)</w:t>
      </w:r>
      <w:r>
        <w:br/>
        <w:t xml:space="preserve">    front = list(np.flatnonzero(indegree == 0))</w:t>
      </w:r>
      <w:r>
        <w:br/>
        <w:t xml:space="preserve">    level = 0</w:t>
      </w:r>
      <w:r>
        <w:br/>
        <w:t xml:space="preserve">    while front:</w:t>
      </w:r>
      <w:r>
        <w:br/>
        <w:t xml:space="preserve">        next_front = []</w:t>
      </w:r>
      <w:r>
        <w:br/>
        <w:t xml:space="preserve">        for i in front:</w:t>
      </w:r>
      <w:r>
        <w:br/>
        <w:t xml:space="preserve">            result[i] = level</w:t>
      </w:r>
      <w:r>
        <w:br/>
        <w:t xml:space="preserve">            for j in edges[i]:</w:t>
      </w:r>
      <w:r>
        <w:br/>
        <w:t xml:space="preserve">                indegree[j] -= 1</w:t>
      </w:r>
      <w:r>
        <w:br/>
        <w:t xml:space="preserve">                if indegree[j] == 0:</w:t>
      </w:r>
      <w:r>
        <w:br/>
        <w:t xml:space="preserve">                    next_front.append(j)</w:t>
      </w:r>
      <w:r>
        <w:br/>
        <w:t xml:space="preserve">        front = next_front</w:t>
      </w:r>
      <w:r>
        <w:br/>
        <w:t xml:space="preserve">        level += 1</w:t>
      </w:r>
      <w:r>
        <w:br/>
        <w:t xml:space="preserve">    return result</w:t>
      </w:r>
    </w:p>
    <w:p w14:paraId="1BAFF96D" w14:textId="77777777" w:rsidR="00D84A52" w:rsidRDefault="00000000">
      <w:pPr>
        <w:pStyle w:val="SourceCode"/>
        <w:keepLines/>
        <w:spacing w:before="80" w:after="80"/>
        <w:rPr>
          <w:rFonts w:hint="eastAsia"/>
        </w:rPr>
      </w:pPr>
      <w:r>
        <w:br/>
        <w:t>def scalarise(f, lam, base, scale, reference=None):</w:t>
      </w:r>
      <w:r>
        <w:br/>
        <w:t xml:space="preserve">    u = (np.asarray(f) - base) / scale</w:t>
      </w:r>
      <w:r>
        <w:br/>
        <w:t xml:space="preserve">    if reference is None:</w:t>
      </w:r>
      <w:r>
        <w:br/>
        <w:t xml:space="preserve">        return u @ lam</w:t>
      </w:r>
      <w:r>
        <w:br/>
        <w:t xml:space="preserve">    return np.max((u - reference) * lam, axis=-1)</w:t>
      </w:r>
    </w:p>
    <w:p w14:paraId="49007EAC" w14:textId="77777777" w:rsidR="00D84A52" w:rsidRDefault="00000000">
      <w:pPr>
        <w:pStyle w:val="SourceCode"/>
        <w:keepLines/>
        <w:spacing w:before="80" w:after="80"/>
        <w:rPr>
          <w:rFonts w:hint="eastAsia"/>
        </w:rPr>
      </w:pPr>
      <w:r>
        <w:br/>
        <w:t>def normalise(logw):</w:t>
      </w:r>
      <w:r>
        <w:br/>
        <w:t xml:space="preserve">    total = logsumexp(logw)</w:t>
      </w:r>
      <w:r>
        <w:br/>
        <w:t xml:space="preserve">    if not np.isfinite(total):</w:t>
      </w:r>
      <w:r>
        <w:br/>
        <w:t xml:space="preserve">        raise ValueError("No positive archive weight")</w:t>
      </w:r>
      <w:r>
        <w:br/>
        <w:t xml:space="preserve">    return np.exp(logw - total)</w:t>
      </w:r>
    </w:p>
    <w:p w14:paraId="33086F8A" w14:textId="77777777" w:rsidR="00D84A52" w:rsidRDefault="00000000">
      <w:pPr>
        <w:pStyle w:val="SourceCode"/>
        <w:keepLines/>
        <w:spacing w:before="80" w:after="80"/>
        <w:rPr>
          <w:rFonts w:hint="eastAsia"/>
        </w:rPr>
      </w:pPr>
      <w:r>
        <w:lastRenderedPageBreak/>
        <w:br/>
        <w:t>def mixture_read(y, component_logw, log_kernel, lam):</w:t>
      </w:r>
      <w:r>
        <w:br/>
        <w:t xml:space="preserve">    """component_logw[j,i] includes RN and inclusion corrections.</w:t>
      </w:r>
      <w:r>
        <w:br/>
        <w:t xml:space="preserve">    log_kernel is shared across components and includes its density.</w:t>
      </w:r>
      <w:r>
        <w:br/>
        <w:t xml:space="preserve">    """</w:t>
      </w:r>
      <w:r>
        <w:br/>
        <w:t xml:space="preserve">    logw = np.asarray(component_logw)</w:t>
      </w:r>
      <w:r>
        <w:br/>
        <w:t xml:space="preserve">    log_den = logsumexp(logw, axis=1)</w:t>
      </w:r>
      <w:r>
        <w:br/>
        <w:t xml:space="preserve">    log_num = logsumexp(logw + log_kernel, axis=1)</w:t>
      </w:r>
      <w:r>
        <w:br/>
        <w:t xml:space="preserve">    if not np.all(np.isfinite(log_den) &amp; np.isfinite(log_num)):</w:t>
      </w:r>
      <w:r>
        <w:br/>
        <w:t xml:space="preserve">        raise ValueError("Every component needs positive evidence")</w:t>
      </w:r>
      <w:r>
        <w:br/>
        <w:t xml:space="preserve">    heads = np.array([normalise(w + log_kernel) @ y for w in logw])</w:t>
      </w:r>
      <w:r>
        <w:br/>
        <w:t xml:space="preserve">    with np.errstate(divide="ignore"):</w:t>
      </w:r>
      <w:r>
        <w:br/>
        <w:t xml:space="preserve">        log_lam = np.log(lam)</w:t>
      </w:r>
      <w:r>
        <w:br/>
        <w:t xml:space="preserve">    gates = normalise(log_lam + log_num - log_den)</w:t>
      </w:r>
      <w:r>
        <w:br/>
        <w:t xml:space="preserve">    return gates @ heads, gates, heads</w:t>
      </w:r>
    </w:p>
    <w:p w14:paraId="65ABDFEA" w14:textId="77777777" w:rsidR="00D84A52" w:rsidRDefault="00000000">
      <w:pPr>
        <w:pStyle w:val="SourceCode"/>
        <w:keepLines/>
        <w:spacing w:before="80" w:after="80"/>
        <w:rPr>
          <w:rFonts w:hint="eastAsia"/>
        </w:rPr>
      </w:pPr>
      <w:r>
        <w:br/>
        <w:t>def igd_plus(archive, reference):</w:t>
      </w:r>
      <w:r>
        <w:br/>
        <w:t xml:space="preserve">    delta = np.maximum(archive[None, :, :] - reference[:, None, :], 0)</w:t>
      </w:r>
      <w:r>
        <w:br/>
        <w:t xml:space="preserve">    return float(np.linalg.norm(delta, axis=-1).min(axis=1).mean())</w:t>
      </w:r>
    </w:p>
    <w:p w14:paraId="0DBA0B99" w14:textId="77777777" w:rsidR="00D84A52" w:rsidRDefault="00000000">
      <w:pPr>
        <w:pStyle w:val="SourceCode"/>
        <w:keepLines/>
        <w:spacing w:before="80" w:after="80"/>
        <w:rPr>
          <w:rFonts w:hint="eastAsia"/>
        </w:rPr>
      </w:pPr>
      <w:r>
        <w:br/>
        <w:t>def igd_nondominated(archive, reference):</w:t>
      </w:r>
      <w:r>
        <w:br/>
        <w:t xml:space="preserve">    nd = archive[ranks(archive) == 0]</w:t>
      </w:r>
      <w:r>
        <w:br/>
        <w:t xml:space="preserve">    return float(np.linalg.norm(nd[None, :, :] - reference[:, None, :],</w:t>
      </w:r>
      <w:r>
        <w:br/>
        <w:t xml:space="preserve">                                axis=-1).min(axis=1).mean())</w:t>
      </w:r>
    </w:p>
    <w:p w14:paraId="355B9C2A" w14:textId="77777777" w:rsidR="00D84A52" w:rsidRDefault="00000000">
      <w:pPr>
        <w:pStyle w:val="FirstParagraph"/>
      </w:pPr>
      <w:r>
        <w:t xml:space="preserve">For the shared archive in (11), each component log-weight row includes the same sampling and inclusion correction plus that component’s loss tilt. Missing complete responses receive log weight </w:t>
      </w:r>
      <m:oMath>
        <m:r>
          <m:rPr>
            <m:sty m:val="p"/>
          </m:rPr>
          <w:rPr>
            <w:rFonts w:ascii="Cambria Math" w:hAnsi="Cambria Math"/>
          </w:rPr>
          <m:t>-∞</m:t>
        </m:r>
      </m:oMath>
      <w:r>
        <w:t xml:space="preserve"> and harmless finite placeholders in stored numeric arrays. The same record may be rescored under several compatible preferences, but it is not counted as several independent measurements. Production records additionally retain law types, masks, versions, evaluator status, and immutable artifact identifiers.</w:t>
      </w:r>
    </w:p>
    <w:p w14:paraId="1682B7D9" w14:textId="77777777" w:rsidR="00D84A52" w:rsidRDefault="00000000">
      <w:pPr>
        <w:pStyle w:val="Heading1"/>
        <w:pageBreakBefore/>
      </w:pPr>
      <w:bookmarkStart w:id="53" w:name="references"/>
      <w:bookmarkEnd w:id="52"/>
      <w:r>
        <w:lastRenderedPageBreak/>
        <w:t>References</w:t>
      </w:r>
    </w:p>
    <w:p w14:paraId="2FD3C957" w14:textId="77777777" w:rsidR="00D84A52" w:rsidRDefault="00000000">
      <w:pPr>
        <w:pStyle w:val="FirstParagraph"/>
        <w:keepLines/>
        <w:spacing w:after="60" w:line="240" w:lineRule="auto"/>
        <w:ind w:left="259" w:hanging="259"/>
        <w:jc w:val="left"/>
      </w:pPr>
      <w:r>
        <w:rPr>
          <w:sz w:val="20"/>
        </w:rPr>
        <w:t xml:space="preserve">[1] Zhang, Y., Hartl, B., Hazan, H., and Levin, M. (2025). Diffusion models are evolutionary algorithms. </w:t>
      </w:r>
      <w:r>
        <w:rPr>
          <w:i/>
          <w:iCs/>
          <w:sz w:val="20"/>
        </w:rPr>
        <w:t>ICLR 2025</w:t>
      </w:r>
      <w:r>
        <w:rPr>
          <w:sz w:val="20"/>
        </w:rPr>
        <w:t>. https://arxiv.org/abs/2410.02543</w:t>
      </w:r>
    </w:p>
    <w:p w14:paraId="6ADFC959" w14:textId="77777777" w:rsidR="00D84A52" w:rsidRDefault="00000000">
      <w:pPr>
        <w:pStyle w:val="BodyText"/>
        <w:keepLines/>
        <w:spacing w:after="60" w:line="240" w:lineRule="auto"/>
        <w:ind w:left="259" w:hanging="259"/>
        <w:jc w:val="left"/>
      </w:pPr>
      <w:r>
        <w:rPr>
          <w:sz w:val="20"/>
        </w:rPr>
        <w:t xml:space="preserve">[2] Tsai, Y.-H. H., et al. (2019). Multimodal Transformer for unaligned multimodal language sequences. </w:t>
      </w:r>
      <w:r>
        <w:rPr>
          <w:i/>
          <w:iCs/>
          <w:sz w:val="20"/>
        </w:rPr>
        <w:t>ACL 2019</w:t>
      </w:r>
      <w:r>
        <w:rPr>
          <w:sz w:val="20"/>
        </w:rPr>
        <w:t>, 6558–6569. https://aclanthology.org/P19-1656/</w:t>
      </w:r>
    </w:p>
    <w:p w14:paraId="263C44C2" w14:textId="64F5A5EF" w:rsidR="00D84A52" w:rsidRDefault="00000000">
      <w:pPr>
        <w:pStyle w:val="BodyText"/>
        <w:keepLines/>
        <w:spacing w:after="60" w:line="240" w:lineRule="auto"/>
        <w:ind w:left="259" w:hanging="259"/>
        <w:jc w:val="left"/>
      </w:pPr>
      <w:r>
        <w:rPr>
          <w:sz w:val="20"/>
        </w:rPr>
        <w:t>[3] Ghosh, D. P. (2026). Autoregressive Diffusion Evolution research collection. https://github.com/debiprasadghosh/ResearchOverFlow/tree/main/October2026/AutoregressiveDiffusionEvolution</w:t>
      </w:r>
    </w:p>
    <w:p w14:paraId="71268FD4" w14:textId="77777777" w:rsidR="00D84A52" w:rsidRDefault="00000000">
      <w:pPr>
        <w:pStyle w:val="BodyText"/>
        <w:keepLines/>
        <w:spacing w:after="60" w:line="240" w:lineRule="auto"/>
        <w:ind w:left="259" w:hanging="259"/>
        <w:jc w:val="left"/>
      </w:pPr>
      <w:r>
        <w:rPr>
          <w:sz w:val="20"/>
        </w:rPr>
        <w:t xml:space="preserve">[4] Bissiri, P. G., Holmes, C. C., and Walker, S. G. (2016). A general framework for updating belief distributions. </w:t>
      </w:r>
      <w:r>
        <w:rPr>
          <w:i/>
          <w:iCs/>
          <w:sz w:val="20"/>
        </w:rPr>
        <w:t>Journal of the Royal Statistical Society Series B</w:t>
      </w:r>
      <w:r>
        <w:rPr>
          <w:sz w:val="20"/>
        </w:rPr>
        <w:t>, 78(5), 1103–1130. https://doi.org/10.1111/rssb.12158</w:t>
      </w:r>
    </w:p>
    <w:p w14:paraId="6F68B18C" w14:textId="77777777" w:rsidR="00D84A52" w:rsidRDefault="00000000">
      <w:pPr>
        <w:pStyle w:val="BodyText"/>
        <w:keepLines/>
        <w:spacing w:after="60" w:line="240" w:lineRule="auto"/>
        <w:ind w:left="259" w:hanging="259"/>
        <w:jc w:val="left"/>
      </w:pPr>
      <w:r>
        <w:rPr>
          <w:sz w:val="20"/>
        </w:rPr>
        <w:t xml:space="preserve">[5] Das, I., and Dennis, J. E. (1997). A closer look at drawbacks of minimizing weighted sums of objectives for Pareto set generation in multicriteria optimization problems. </w:t>
      </w:r>
      <w:r>
        <w:rPr>
          <w:i/>
          <w:iCs/>
          <w:sz w:val="20"/>
        </w:rPr>
        <w:t>Structural Optimization</w:t>
      </w:r>
      <w:r>
        <w:rPr>
          <w:sz w:val="20"/>
        </w:rPr>
        <w:t>, 14, 63–69. https://doi.org/10.1007/BF01197559</w:t>
      </w:r>
    </w:p>
    <w:p w14:paraId="1E7039AE" w14:textId="77777777" w:rsidR="00D84A52" w:rsidRDefault="00000000">
      <w:pPr>
        <w:pStyle w:val="BodyText"/>
        <w:keepLines/>
        <w:spacing w:after="60" w:line="240" w:lineRule="auto"/>
        <w:ind w:left="259" w:hanging="259"/>
        <w:jc w:val="left"/>
      </w:pPr>
      <w:r>
        <w:rPr>
          <w:sz w:val="20"/>
        </w:rPr>
        <w:t xml:space="preserve">[6] Deb, K., Pratap, A., Agarwal, S., and Meyarivan, T. (2002). A fast and elitist multiobjective genetic algorithm: NSGA-II. </w:t>
      </w:r>
      <w:r>
        <w:rPr>
          <w:i/>
          <w:iCs/>
          <w:sz w:val="20"/>
        </w:rPr>
        <w:t>IEEE Transactions on Evolutionary Computation</w:t>
      </w:r>
      <w:r>
        <w:rPr>
          <w:sz w:val="20"/>
        </w:rPr>
        <w:t>, 6(2), 182–197. https://doi.org/10.1109/4235.996017</w:t>
      </w:r>
    </w:p>
    <w:p w14:paraId="52617864" w14:textId="77777777" w:rsidR="00D84A52" w:rsidRDefault="00000000">
      <w:pPr>
        <w:pStyle w:val="BodyText"/>
        <w:keepLines/>
        <w:spacing w:after="60" w:line="240" w:lineRule="auto"/>
        <w:ind w:left="259" w:hanging="259"/>
        <w:jc w:val="left"/>
      </w:pPr>
      <w:r>
        <w:rPr>
          <w:sz w:val="20"/>
        </w:rPr>
        <w:t xml:space="preserve">[7] Hesterberg, T. (1995). Weighted average importance sampling and defensive mixture distributions. </w:t>
      </w:r>
      <w:r>
        <w:rPr>
          <w:i/>
          <w:iCs/>
          <w:sz w:val="20"/>
        </w:rPr>
        <w:t>Technometrics</w:t>
      </w:r>
      <w:r>
        <w:rPr>
          <w:sz w:val="20"/>
        </w:rPr>
        <w:t>, 37(2), 185–194. https://doi.org/10.1080/00401706.1995.10484303</w:t>
      </w:r>
    </w:p>
    <w:p w14:paraId="0054664E" w14:textId="77777777" w:rsidR="00D84A52" w:rsidRDefault="00000000">
      <w:pPr>
        <w:pStyle w:val="BodyText"/>
        <w:keepLines/>
        <w:spacing w:after="60" w:line="240" w:lineRule="auto"/>
        <w:ind w:left="259" w:hanging="259"/>
        <w:jc w:val="left"/>
      </w:pPr>
      <w:r>
        <w:rPr>
          <w:sz w:val="20"/>
        </w:rPr>
        <w:t xml:space="preserve">[8] Yan, X., and Jin, Y. (2024). EmoDM: A Diffusion Model for Evolutionary Multi-objective Optimization. </w:t>
      </w:r>
      <w:r>
        <w:rPr>
          <w:i/>
          <w:iCs/>
          <w:sz w:val="20"/>
        </w:rPr>
        <w:t>arXiv</w:t>
      </w:r>
      <w:r>
        <w:rPr>
          <w:sz w:val="20"/>
        </w:rPr>
        <w:t>, 2401.15931v2. https://arxiv.org/abs/2401.15931</w:t>
      </w:r>
    </w:p>
    <w:p w14:paraId="40E566DF" w14:textId="77777777" w:rsidR="00D84A52" w:rsidRDefault="00000000">
      <w:pPr>
        <w:pStyle w:val="BodyText"/>
        <w:keepLines/>
        <w:spacing w:after="60" w:line="240" w:lineRule="auto"/>
        <w:ind w:left="259" w:hanging="259"/>
        <w:jc w:val="left"/>
      </w:pPr>
      <w:r>
        <w:rPr>
          <w:sz w:val="20"/>
        </w:rPr>
        <w:t xml:space="preserve">[9] Ishibuchi, H., Masuda, H., Tanigaki, Y., and Nojima, Y. (2015). Modified distance calculation in generational distance and inverted generational distance. </w:t>
      </w:r>
      <w:r>
        <w:rPr>
          <w:i/>
          <w:iCs/>
          <w:sz w:val="20"/>
        </w:rPr>
        <w:t>EMO 2015</w:t>
      </w:r>
      <w:r>
        <w:rPr>
          <w:sz w:val="20"/>
        </w:rPr>
        <w:t>, LNCS 9019, 110–125. https://doi.org/10.1007/978-3-319-15892-1_8</w:t>
      </w:r>
    </w:p>
    <w:p w14:paraId="3BA85D1E" w14:textId="77777777" w:rsidR="00D84A52" w:rsidRDefault="00000000">
      <w:pPr>
        <w:pStyle w:val="BodyText"/>
        <w:keepLines/>
        <w:spacing w:after="60" w:line="240" w:lineRule="auto"/>
        <w:ind w:left="259" w:hanging="259"/>
        <w:jc w:val="left"/>
      </w:pPr>
      <w:r>
        <w:rPr>
          <w:sz w:val="20"/>
        </w:rPr>
        <w:t xml:space="preserve">[10] Zitzler, E., Deb, K., and Thiele, L. (2000). Comparison of multiobjective evolutionary algorithms: Empirical results. </w:t>
      </w:r>
      <w:r>
        <w:rPr>
          <w:i/>
          <w:iCs/>
          <w:sz w:val="20"/>
        </w:rPr>
        <w:t>Evolutionary Computation</w:t>
      </w:r>
      <w:r>
        <w:rPr>
          <w:sz w:val="20"/>
        </w:rPr>
        <w:t>, 8(2), 173–195. https://doi.org/10.1162/106365600568202</w:t>
      </w:r>
    </w:p>
    <w:p w14:paraId="45092389" w14:textId="1C78607C" w:rsidR="00D84A52" w:rsidRDefault="00000000">
      <w:pPr>
        <w:pStyle w:val="BodyText"/>
        <w:keepLines/>
        <w:spacing w:after="60" w:line="240" w:lineRule="auto"/>
        <w:ind w:left="259" w:hanging="259"/>
        <w:jc w:val="left"/>
      </w:pPr>
      <w:r>
        <w:rPr>
          <w:sz w:val="20"/>
        </w:rPr>
        <w:t xml:space="preserve">[11] Ghosh, D. P. (2026). Objectives as Modalities. Earlier manuscript dated 16 October 2026. </w:t>
      </w:r>
      <w:r w:rsidR="00780CB6">
        <w:rPr>
          <w:sz w:val="20"/>
        </w:rPr>
        <w:t>https://github.com/debiprasadghosh/ResearchOverFlow/tree/main/October2026/AutoregressiveDiffusionEvolution</w:t>
      </w:r>
    </w:p>
    <w:p w14:paraId="0AA51E3B" w14:textId="77777777" w:rsidR="00D84A52" w:rsidRDefault="00000000">
      <w:pPr>
        <w:pStyle w:val="BodyText"/>
        <w:keepLines/>
        <w:spacing w:after="60" w:line="240" w:lineRule="auto"/>
        <w:ind w:left="259" w:hanging="259"/>
        <w:jc w:val="left"/>
      </w:pPr>
      <w:r>
        <w:rPr>
          <w:sz w:val="20"/>
        </w:rPr>
        <w:t xml:space="preserve">[12] Grabenhorst, F., and Báez-Mendoza, R. (2025). Dynamic coding and sequential integration of multiple reward attributes by primate amygdala neurons. </w:t>
      </w:r>
      <w:r>
        <w:rPr>
          <w:i/>
          <w:iCs/>
          <w:sz w:val="20"/>
        </w:rPr>
        <w:t>Nature Communications</w:t>
      </w:r>
      <w:r>
        <w:rPr>
          <w:sz w:val="20"/>
        </w:rPr>
        <w:t>, 16, 3119. https://doi.org/10.1038/s41467-025-58270-y</w:t>
      </w:r>
    </w:p>
    <w:p w14:paraId="7B8580A4" w14:textId="77777777" w:rsidR="00D84A52" w:rsidRDefault="00000000">
      <w:pPr>
        <w:pStyle w:val="BodyText"/>
        <w:keepLines/>
        <w:spacing w:after="60" w:line="240" w:lineRule="auto"/>
        <w:ind w:left="259" w:hanging="259"/>
        <w:jc w:val="left"/>
      </w:pPr>
      <w:r>
        <w:rPr>
          <w:sz w:val="20"/>
        </w:rPr>
        <w:t xml:space="preserve">[13] Ferrari-Toniolo, S., Seak, L. C. U., and Schultz, W. (2026). Full dopamine coding of basic economic subjective value: Utility and weighted probability. </w:t>
      </w:r>
      <w:r>
        <w:rPr>
          <w:i/>
          <w:iCs/>
          <w:sz w:val="20"/>
        </w:rPr>
        <w:t>Cell Reports</w:t>
      </w:r>
      <w:r>
        <w:rPr>
          <w:sz w:val="20"/>
        </w:rPr>
        <w:t>, 45(2), 116943. https://doi.org/10.1016/j.celrep.2026.116943</w:t>
      </w:r>
    </w:p>
    <w:p w14:paraId="4BA51128" w14:textId="77777777" w:rsidR="00D84A52" w:rsidRDefault="00000000">
      <w:pPr>
        <w:pStyle w:val="BodyText"/>
        <w:keepLines/>
        <w:spacing w:after="60" w:line="240" w:lineRule="auto"/>
        <w:ind w:left="259" w:hanging="259"/>
        <w:jc w:val="left"/>
      </w:pPr>
      <w:r>
        <w:rPr>
          <w:sz w:val="20"/>
        </w:rPr>
        <w:t xml:space="preserve">[14] Liu, S., Holland, T., Ma, W. J., and Acerbi, L. (2026). Distilling noise characteristics and prior expectations in multisensory causal inference. </w:t>
      </w:r>
      <w:r>
        <w:rPr>
          <w:i/>
          <w:iCs/>
          <w:sz w:val="20"/>
        </w:rPr>
        <w:t>PLOS Computational Biology</w:t>
      </w:r>
      <w:r>
        <w:rPr>
          <w:sz w:val="20"/>
        </w:rPr>
        <w:t>, 22(5), e1014251. https://doi.org/10.1371/journal.pcbi.1014251</w:t>
      </w:r>
    </w:p>
    <w:p w14:paraId="169015DB" w14:textId="77777777" w:rsidR="00D84A52" w:rsidRDefault="00000000">
      <w:pPr>
        <w:pStyle w:val="BodyText"/>
        <w:keepLines/>
        <w:spacing w:after="60" w:line="240" w:lineRule="auto"/>
        <w:ind w:left="259" w:hanging="259"/>
        <w:jc w:val="left"/>
      </w:pPr>
      <w:r>
        <w:rPr>
          <w:sz w:val="20"/>
        </w:rPr>
        <w:t xml:space="preserve">[15] Frömer, R., Callaway, F., Griffiths, T. L., and Shenhav, A. (2025). Considering what we know and what we don’t know: Expectations and confidence guide value integration in value-based decision-making. </w:t>
      </w:r>
      <w:r>
        <w:rPr>
          <w:i/>
          <w:iCs/>
          <w:sz w:val="20"/>
        </w:rPr>
        <w:t>Open Mind</w:t>
      </w:r>
      <w:r>
        <w:rPr>
          <w:sz w:val="20"/>
        </w:rPr>
        <w:t>, 9, 791–813. https://doi.org/10.1162/opmi.a.3</w:t>
      </w:r>
    </w:p>
    <w:p w14:paraId="30A342BC" w14:textId="77777777" w:rsidR="00D84A52" w:rsidRDefault="00000000">
      <w:pPr>
        <w:pStyle w:val="BodyText"/>
        <w:keepLines/>
        <w:spacing w:after="60" w:line="240" w:lineRule="auto"/>
        <w:ind w:left="259" w:hanging="259"/>
        <w:jc w:val="left"/>
      </w:pPr>
      <w:r>
        <w:rPr>
          <w:sz w:val="20"/>
        </w:rPr>
        <w:t xml:space="preserve">[16] Wei, C., et al. (2026). Self-Evolving Agent Harness. </w:t>
      </w:r>
      <w:r>
        <w:rPr>
          <w:i/>
          <w:iCs/>
          <w:sz w:val="20"/>
        </w:rPr>
        <w:t>arXiv</w:t>
      </w:r>
      <w:r>
        <w:rPr>
          <w:sz w:val="20"/>
        </w:rPr>
        <w:t>, preprint 2610.18813. https://arxiv.org/abs/2610.18813</w:t>
      </w:r>
    </w:p>
    <w:p w14:paraId="0243E76A" w14:textId="77777777" w:rsidR="00D84A52" w:rsidRDefault="00000000">
      <w:pPr>
        <w:pStyle w:val="BodyText"/>
        <w:keepLines/>
        <w:spacing w:after="60" w:line="240" w:lineRule="auto"/>
        <w:ind w:left="259" w:hanging="259"/>
        <w:jc w:val="left"/>
      </w:pPr>
      <w:r>
        <w:rPr>
          <w:sz w:val="20"/>
        </w:rPr>
        <w:t xml:space="preserve">[17] Yu, W., et al. (2026). Harmony Harness: Multi-Objective Self-Evolution of Agent Harnesses. </w:t>
      </w:r>
      <w:r>
        <w:rPr>
          <w:i/>
          <w:iCs/>
          <w:sz w:val="20"/>
        </w:rPr>
        <w:t>arXiv</w:t>
      </w:r>
      <w:r>
        <w:rPr>
          <w:sz w:val="20"/>
        </w:rPr>
        <w:t>, preprint 2610.15150. https://arxiv.org/abs/2610.15150</w:t>
      </w:r>
      <w:bookmarkEnd w:id="53"/>
    </w:p>
    <w:p w14:paraId="02117B11" w14:textId="77777777" w:rsidR="00147891" w:rsidRDefault="00000000">
      <w:pPr>
        <w:pStyle w:val="BodyText"/>
        <w:spacing w:after="60" w:line="240" w:lineRule="auto"/>
        <w:ind w:left="259" w:hanging="259"/>
        <w:jc w:val="left"/>
      </w:pPr>
      <w:r>
        <w:rPr>
          <w:sz w:val="20"/>
        </w:rPr>
        <w:t>[18] Heskes, T. (1998). Selecting weighting factors in logarithmic opinion pools. Advances in Neural Information Processing Systems 10, 266–272. MIT Press. https://papers.nips.cc/paper/1413-selecting-weighting-factors-in-logarithmic-opinion-pools.pdf</w:t>
      </w:r>
    </w:p>
    <w:p w14:paraId="73AAFF6F" w14:textId="77777777" w:rsidR="00147891" w:rsidRDefault="00000000">
      <w:pPr>
        <w:pStyle w:val="BodyText"/>
        <w:spacing w:after="60" w:line="240" w:lineRule="auto"/>
        <w:ind w:left="259" w:hanging="259"/>
        <w:jc w:val="left"/>
      </w:pPr>
      <w:r>
        <w:rPr>
          <w:sz w:val="20"/>
        </w:rPr>
        <w:t>[19] Dytso, A., Poor, H. V., and Shamai (Shitz), S. (2023). Conditional mean estimation in Gaussian noise: A meta derivative identity with applications. IEEE Transactions on Information Theory, 69(3), 1883–1898. https://doi.org/10.1109/TIT.2022.3216012</w:t>
      </w:r>
    </w:p>
    <w:p w14:paraId="02164860" w14:textId="77777777" w:rsidR="00147891" w:rsidRDefault="00000000">
      <w:pPr>
        <w:pStyle w:val="BodyText"/>
        <w:spacing w:after="60" w:line="240" w:lineRule="auto"/>
        <w:ind w:left="259" w:hanging="259"/>
        <w:jc w:val="left"/>
      </w:pPr>
      <w:r>
        <w:rPr>
          <w:sz w:val="20"/>
        </w:rPr>
        <w:t>[20] Henriques, C. O., Inuiguchi, M., Luque, M., and Figueira, J. R. (2020). New conditions for testing necessarily/possibly efficiency of non-degenerate basic solutions based on the tolerance approach. European Journal of Operational Research, 283(1), 341–355. https://doi.org/10.1016/j.ejor.2019.11.009</w:t>
      </w:r>
    </w:p>
    <w:p w14:paraId="2BE32ADF" w14:textId="3EEBA5A1" w:rsidR="00147891" w:rsidRDefault="00000000">
      <w:pPr>
        <w:pStyle w:val="BodyText"/>
        <w:spacing w:after="60" w:line="240" w:lineRule="auto"/>
        <w:ind w:left="259" w:hanging="259"/>
        <w:jc w:val="left"/>
      </w:pPr>
      <w:r>
        <w:rPr>
          <w:sz w:val="20"/>
        </w:rPr>
        <w:t xml:space="preserve">[21] Ghosh, D. P. (2026). Objectives as Modalities. V4 revised 30 October 2026. </w:t>
      </w:r>
      <w:r w:rsidR="00780CB6">
        <w:rPr>
          <w:sz w:val="20"/>
        </w:rPr>
        <w:t>https://github.com/debiprasadghosh/ResearchOverFlow/tree/main/October2026/AutoregressiveDiffusionEvolution</w:t>
      </w:r>
    </w:p>
    <w:p w14:paraId="44F075FF" w14:textId="77777777" w:rsidR="00147891" w:rsidRDefault="00000000">
      <w:pPr>
        <w:pStyle w:val="Heading1"/>
        <w:pageBreakBefore/>
      </w:pPr>
      <w:r>
        <w:lastRenderedPageBreak/>
        <w:t>Appendix C Source archive and numerical settings</w:t>
      </w:r>
    </w:p>
    <w:p w14:paraId="57EB7EF8" w14:textId="77777777" w:rsidR="00147891" w:rsidRDefault="00000000">
      <w:pPr>
        <w:pStyle w:val="FirstParagraph"/>
      </w:pPr>
      <w:r>
        <w:t>The supplied Objectives_as_Modalities_Interval_CSharp_V4.zip is retained unchanged [21]. Its cs directory contains the .NET project, Interval.cs, Fusion.cs, Reach.cs, Reuse.cs, Program.cs and recorded outputs. Its symbolic directory contains the supplied symbolic script and results; its figures directory contains the plotting code and Figures 3 and 4. V4 reports .NET 8.0.32 on an Intel Xeon processor at 2.10 GHz and about 25 seconds for the full program. These are source settings and timings. The long C sharp listings remain in the archive; this appendix retains the settings and qualifications needed to interpret them.</w:t>
      </w:r>
    </w:p>
    <w:p w14:paraId="0072C6F1" w14:textId="77777777" w:rsidR="00147891" w:rsidRDefault="00000000">
      <w:pPr>
        <w:pStyle w:val="Caption"/>
        <w:keepNext/>
      </w:pPr>
      <w:r>
        <w:t>Table 8. Settings of the retained V4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987"/>
        <w:gridCol w:w="7949"/>
      </w:tblGrid>
      <w:tr w:rsidR="00147891" w14:paraId="263E68A0" w14:textId="77777777">
        <w:trPr>
          <w:cantSplit/>
          <w:tblHeader/>
          <w:jc w:val="center"/>
        </w:trPr>
        <w:tc>
          <w:tcPr>
            <w:tcW w:w="1987" w:type="dxa"/>
            <w:shd w:val="clear" w:color="auto" w:fill="E8E8E8"/>
            <w:tcMar>
              <w:top w:w="80" w:type="dxa"/>
              <w:left w:w="85" w:type="dxa"/>
              <w:bottom w:w="80" w:type="dxa"/>
              <w:right w:w="85" w:type="dxa"/>
            </w:tcMar>
            <w:vAlign w:val="center"/>
          </w:tcPr>
          <w:p w14:paraId="4E46ACAB" w14:textId="77777777" w:rsidR="00147891" w:rsidRDefault="00000000">
            <w:pPr>
              <w:keepNext/>
              <w:keepLines/>
              <w:spacing w:after="20" w:line="240" w:lineRule="auto"/>
              <w:jc w:val="left"/>
            </w:pPr>
            <w:r>
              <w:rPr>
                <w:b/>
                <w:sz w:val="20"/>
              </w:rPr>
              <w:t>Item</w:t>
            </w:r>
          </w:p>
        </w:tc>
        <w:tc>
          <w:tcPr>
            <w:tcW w:w="7949" w:type="dxa"/>
            <w:shd w:val="clear" w:color="auto" w:fill="E8E8E8"/>
            <w:tcMar>
              <w:top w:w="80" w:type="dxa"/>
              <w:left w:w="85" w:type="dxa"/>
              <w:bottom w:w="80" w:type="dxa"/>
              <w:right w:w="85" w:type="dxa"/>
            </w:tcMar>
            <w:vAlign w:val="center"/>
          </w:tcPr>
          <w:p w14:paraId="085B00E8" w14:textId="77777777" w:rsidR="00147891" w:rsidRDefault="00000000">
            <w:pPr>
              <w:keepNext/>
              <w:keepLines/>
              <w:spacing w:after="20" w:line="240" w:lineRule="auto"/>
              <w:jc w:val="left"/>
            </w:pPr>
            <w:r>
              <w:rPr>
                <w:b/>
                <w:sz w:val="20"/>
              </w:rPr>
              <w:t>Setting</w:t>
            </w:r>
          </w:p>
        </w:tc>
      </w:tr>
      <w:tr w:rsidR="00147891" w14:paraId="15A3D96F" w14:textId="77777777">
        <w:trPr>
          <w:cantSplit/>
          <w:jc w:val="center"/>
        </w:trPr>
        <w:tc>
          <w:tcPr>
            <w:tcW w:w="1987" w:type="dxa"/>
            <w:shd w:val="clear" w:color="auto" w:fill="FFFFFF"/>
            <w:tcMar>
              <w:top w:w="80" w:type="dxa"/>
              <w:left w:w="85" w:type="dxa"/>
              <w:bottom w:w="80" w:type="dxa"/>
              <w:right w:w="85" w:type="dxa"/>
            </w:tcMar>
            <w:vAlign w:val="center"/>
          </w:tcPr>
          <w:p w14:paraId="43407946" w14:textId="77777777" w:rsidR="00147891" w:rsidRDefault="00000000">
            <w:pPr>
              <w:keepNext/>
              <w:keepLines/>
              <w:spacing w:after="20" w:line="240" w:lineRule="auto"/>
              <w:jc w:val="left"/>
            </w:pPr>
            <w:r>
              <w:rPr>
                <w:sz w:val="20"/>
              </w:rPr>
              <w:t>Interval rounding</w:t>
            </w:r>
          </w:p>
        </w:tc>
        <w:tc>
          <w:tcPr>
            <w:tcW w:w="7949" w:type="dxa"/>
            <w:shd w:val="clear" w:color="auto" w:fill="FFFFFF"/>
            <w:tcMar>
              <w:top w:w="80" w:type="dxa"/>
              <w:left w:w="85" w:type="dxa"/>
              <w:bottom w:w="80" w:type="dxa"/>
              <w:right w:w="85" w:type="dxa"/>
            </w:tcMar>
            <w:vAlign w:val="center"/>
          </w:tcPr>
          <w:p w14:paraId="1B794048" w14:textId="77777777" w:rsidR="00147891" w:rsidRDefault="00000000">
            <w:pPr>
              <w:keepNext/>
              <w:keepLines/>
              <w:spacing w:after="20" w:line="240" w:lineRule="auto"/>
              <w:jc w:val="left"/>
            </w:pPr>
            <w:r>
              <w:rPr>
                <w:sz w:val="20"/>
              </w:rPr>
              <w:t>One ulp outward after each correctly rounded +, −, ×, ÷, √; exponential widened by four ulps</w:t>
            </w:r>
          </w:p>
        </w:tc>
      </w:tr>
      <w:tr w:rsidR="00147891" w14:paraId="5AA4BAFD" w14:textId="77777777">
        <w:trPr>
          <w:cantSplit/>
          <w:jc w:val="center"/>
        </w:trPr>
        <w:tc>
          <w:tcPr>
            <w:tcW w:w="1987" w:type="dxa"/>
            <w:shd w:val="clear" w:color="auto" w:fill="FFFFFF"/>
            <w:tcMar>
              <w:top w:w="80" w:type="dxa"/>
              <w:left w:w="85" w:type="dxa"/>
              <w:bottom w:w="80" w:type="dxa"/>
              <w:right w:w="85" w:type="dxa"/>
            </w:tcMar>
            <w:vAlign w:val="center"/>
          </w:tcPr>
          <w:p w14:paraId="49D9318B" w14:textId="77777777" w:rsidR="00147891" w:rsidRDefault="00000000">
            <w:pPr>
              <w:keepNext/>
              <w:keepLines/>
              <w:spacing w:after="20" w:line="240" w:lineRule="auto"/>
              <w:jc w:val="left"/>
            </w:pPr>
            <w:r>
              <w:rPr>
                <w:sz w:val="20"/>
              </w:rPr>
              <w:t>Mixture gate</w:t>
            </w:r>
          </w:p>
        </w:tc>
        <w:tc>
          <w:tcPr>
            <w:tcW w:w="7949" w:type="dxa"/>
            <w:shd w:val="clear" w:color="auto" w:fill="FFFFFF"/>
            <w:tcMar>
              <w:top w:w="80" w:type="dxa"/>
              <w:left w:w="85" w:type="dxa"/>
              <w:bottom w:w="80" w:type="dxa"/>
              <w:right w:w="85" w:type="dxa"/>
            </w:tcMar>
            <w:vAlign w:val="center"/>
          </w:tcPr>
          <w:p w14:paraId="2C4E8082" w14:textId="77777777" w:rsidR="00147891" w:rsidRDefault="00000000">
            <w:pPr>
              <w:keepNext/>
              <w:keepLines/>
              <w:spacing w:after="20" w:line="240" w:lineRule="auto"/>
              <w:jc w:val="left"/>
            </w:pPr>
            <w:r>
              <w:rPr>
                <w:sz w:val="20"/>
              </w:rPr>
              <w:t>Components N(−1, 0.05) and N(1, 0.5), a = 0.5, q = 0.4, closed-form evidences and means</w:t>
            </w:r>
          </w:p>
        </w:tc>
      </w:tr>
      <w:tr w:rsidR="00147891" w14:paraId="4F20A672" w14:textId="77777777">
        <w:trPr>
          <w:cantSplit/>
          <w:jc w:val="center"/>
        </w:trPr>
        <w:tc>
          <w:tcPr>
            <w:tcW w:w="1987" w:type="dxa"/>
            <w:shd w:val="clear" w:color="auto" w:fill="FFFFFF"/>
            <w:tcMar>
              <w:top w:w="80" w:type="dxa"/>
              <w:left w:w="85" w:type="dxa"/>
              <w:bottom w:w="80" w:type="dxa"/>
              <w:right w:w="85" w:type="dxa"/>
            </w:tcMar>
            <w:vAlign w:val="center"/>
          </w:tcPr>
          <w:p w14:paraId="7CA66BDA" w14:textId="77777777" w:rsidR="00147891" w:rsidRDefault="00000000">
            <w:pPr>
              <w:keepNext/>
              <w:keepLines/>
              <w:spacing w:after="20" w:line="240" w:lineRule="auto"/>
              <w:jc w:val="left"/>
            </w:pPr>
            <w:r>
              <w:rPr>
                <w:sz w:val="20"/>
              </w:rPr>
              <w:t>Branch and bound</w:t>
            </w:r>
          </w:p>
        </w:tc>
        <w:tc>
          <w:tcPr>
            <w:tcW w:w="7949" w:type="dxa"/>
            <w:shd w:val="clear" w:color="auto" w:fill="FFFFFF"/>
            <w:tcMar>
              <w:top w:w="80" w:type="dxa"/>
              <w:left w:w="85" w:type="dxa"/>
              <w:bottom w:w="80" w:type="dxa"/>
              <w:right w:w="85" w:type="dxa"/>
            </w:tcMar>
            <w:vAlign w:val="center"/>
          </w:tcPr>
          <w:p w14:paraId="17847246" w14:textId="77777777" w:rsidR="00147891" w:rsidRDefault="00000000">
            <w:pPr>
              <w:spacing w:after="20" w:line="240" w:lineRule="auto"/>
              <w:jc w:val="left"/>
            </w:pPr>
            <w:r>
              <w:rPr>
                <w:sz w:val="20"/>
              </w:rPr>
              <w:t>u in [0, 1], depth first bisection to box width 10⁻¹²; midpoint enclosures provide upper bounds.</w:t>
            </w:r>
          </w:p>
        </w:tc>
      </w:tr>
      <w:tr w:rsidR="00147891" w14:paraId="63F5C15B" w14:textId="77777777">
        <w:trPr>
          <w:cantSplit/>
          <w:jc w:val="center"/>
        </w:trPr>
        <w:tc>
          <w:tcPr>
            <w:tcW w:w="1987" w:type="dxa"/>
            <w:shd w:val="clear" w:color="auto" w:fill="FFFFFF"/>
            <w:tcMar>
              <w:top w:w="80" w:type="dxa"/>
              <w:left w:w="85" w:type="dxa"/>
              <w:bottom w:w="80" w:type="dxa"/>
              <w:right w:w="85" w:type="dxa"/>
            </w:tcMar>
            <w:vAlign w:val="center"/>
          </w:tcPr>
          <w:p w14:paraId="329E340A" w14:textId="77777777" w:rsidR="00147891" w:rsidRDefault="00000000">
            <w:pPr>
              <w:keepNext/>
              <w:keepLines/>
              <w:spacing w:after="20" w:line="240" w:lineRule="auto"/>
              <w:jc w:val="left"/>
            </w:pPr>
            <w:r>
              <w:rPr>
                <w:sz w:val="20"/>
              </w:rPr>
              <w:t>Reference curve</w:t>
            </w:r>
          </w:p>
        </w:tc>
        <w:tc>
          <w:tcPr>
            <w:tcW w:w="7949" w:type="dxa"/>
            <w:shd w:val="clear" w:color="auto" w:fill="FFFFFF"/>
            <w:tcMar>
              <w:top w:w="80" w:type="dxa"/>
              <w:left w:w="85" w:type="dxa"/>
              <w:bottom w:w="80" w:type="dxa"/>
              <w:right w:w="85" w:type="dxa"/>
            </w:tcMar>
            <w:vAlign w:val="center"/>
          </w:tcPr>
          <w:p w14:paraId="7A3F2830" w14:textId="77777777" w:rsidR="00147891" w:rsidRDefault="00000000">
            <w:pPr>
              <w:keepNext/>
              <w:keepLines/>
              <w:spacing w:after="20" w:line="240" w:lineRule="auto"/>
              <w:jc w:val="left"/>
            </w:pPr>
            <w:r>
              <w:rPr>
                <w:sz w:val="20"/>
              </w:rPr>
              <w:t>Midpoint rule with second-derivative enclosure, 200,000 cells for eleven preferences and 40,000 for 101</w:t>
            </w:r>
          </w:p>
        </w:tc>
      </w:tr>
      <w:tr w:rsidR="00147891" w14:paraId="256F1479" w14:textId="77777777">
        <w:trPr>
          <w:cantSplit/>
          <w:jc w:val="center"/>
        </w:trPr>
        <w:tc>
          <w:tcPr>
            <w:tcW w:w="1987" w:type="dxa"/>
            <w:shd w:val="clear" w:color="auto" w:fill="FFFFFF"/>
            <w:tcMar>
              <w:top w:w="80" w:type="dxa"/>
              <w:left w:w="85" w:type="dxa"/>
              <w:bottom w:w="80" w:type="dxa"/>
              <w:right w:w="85" w:type="dxa"/>
            </w:tcMar>
            <w:vAlign w:val="center"/>
          </w:tcPr>
          <w:p w14:paraId="6607AD14" w14:textId="77777777" w:rsidR="00147891" w:rsidRDefault="00000000">
            <w:pPr>
              <w:keepNext/>
              <w:keepLines/>
              <w:spacing w:after="20" w:line="240" w:lineRule="auto"/>
              <w:jc w:val="left"/>
            </w:pPr>
            <w:r>
              <w:rPr>
                <w:sz w:val="20"/>
              </w:rPr>
              <w:t>Archive rerun</w:t>
            </w:r>
          </w:p>
        </w:tc>
        <w:tc>
          <w:tcPr>
            <w:tcW w:w="7949" w:type="dxa"/>
            <w:shd w:val="clear" w:color="auto" w:fill="FFFFFF"/>
            <w:tcMar>
              <w:top w:w="80" w:type="dxa"/>
              <w:left w:w="85" w:type="dxa"/>
              <w:bottom w:w="80" w:type="dxa"/>
              <w:right w:w="85" w:type="dxa"/>
            </w:tcMar>
            <w:vAlign w:val="center"/>
          </w:tcPr>
          <w:p w14:paraId="4F87BD1E" w14:textId="77777777" w:rsidR="00147891" w:rsidRDefault="00000000">
            <w:pPr>
              <w:keepNext/>
              <w:keepLines/>
              <w:spacing w:after="20" w:line="240" w:lineRule="auto"/>
              <w:jc w:val="left"/>
            </w:pPr>
            <w:r>
              <w:rPr>
                <w:sz w:val="20"/>
              </w:rPr>
              <w:t>100 blocks of 1,000 attempts, β = 2, defensive share 0.2, proposal SD 0.35, mean clipped to [−1.3, 1.3], seed 20261030 and seeds 1 to 200</w:t>
            </w:r>
          </w:p>
        </w:tc>
      </w:tr>
      <w:tr w:rsidR="00147891" w14:paraId="4E013EFC" w14:textId="77777777">
        <w:trPr>
          <w:cantSplit/>
          <w:jc w:val="center"/>
        </w:trPr>
        <w:tc>
          <w:tcPr>
            <w:tcW w:w="1987" w:type="dxa"/>
            <w:shd w:val="clear" w:color="auto" w:fill="FFFFFF"/>
            <w:tcMar>
              <w:top w:w="80" w:type="dxa"/>
              <w:left w:w="85" w:type="dxa"/>
              <w:bottom w:w="80" w:type="dxa"/>
              <w:right w:w="85" w:type="dxa"/>
            </w:tcMar>
            <w:vAlign w:val="center"/>
          </w:tcPr>
          <w:p w14:paraId="31712100" w14:textId="77777777" w:rsidR="00147891" w:rsidRDefault="00000000">
            <w:pPr>
              <w:keepNext/>
              <w:keepLines/>
              <w:spacing w:after="20" w:line="240" w:lineRule="auto"/>
              <w:jc w:val="left"/>
            </w:pPr>
            <w:r>
              <w:rPr>
                <w:sz w:val="20"/>
              </w:rPr>
              <w:t>Software</w:t>
            </w:r>
          </w:p>
        </w:tc>
        <w:tc>
          <w:tcPr>
            <w:tcW w:w="7949" w:type="dxa"/>
            <w:shd w:val="clear" w:color="auto" w:fill="FFFFFF"/>
            <w:tcMar>
              <w:top w:w="80" w:type="dxa"/>
              <w:left w:w="85" w:type="dxa"/>
              <w:bottom w:w="80" w:type="dxa"/>
              <w:right w:w="85" w:type="dxa"/>
            </w:tcMar>
            <w:vAlign w:val="center"/>
          </w:tcPr>
          <w:p w14:paraId="5C0BDBEF" w14:textId="77777777" w:rsidR="00147891" w:rsidRDefault="00000000">
            <w:pPr>
              <w:keepNext/>
              <w:keepLines/>
              <w:spacing w:after="20" w:line="240" w:lineRule="auto"/>
              <w:jc w:val="left"/>
            </w:pPr>
            <w:r>
              <w:rPr>
                <w:sz w:val="20"/>
              </w:rPr>
              <w:t>.NET 8.0.32, C# 12, System.Random with Box–Muller normals; SymPy 1.14.0, mpmath 1.3.0</w:t>
            </w:r>
          </w:p>
        </w:tc>
      </w:tr>
    </w:tbl>
    <w:p w14:paraId="20DA1740" w14:textId="77777777" w:rsidR="00147891" w:rsidRDefault="00147891">
      <w:pPr>
        <w:pStyle w:val="BodyText"/>
        <w:spacing w:before="140"/>
      </w:pPr>
    </w:p>
    <w:p w14:paraId="69BAB396" w14:textId="77777777" w:rsidR="00147891" w:rsidRDefault="00000000">
      <w:pPr>
        <w:pStyle w:val="BodyText"/>
      </w:pPr>
      <w:r>
        <w:t>The truncated-normal proposal normalizer in the archive simulation uses Simpson’s rule. It enters only the floating-point estimators, which are diagnostics; the interval outputs for references, gates and branch-and-bound boxes have the additional qualifications in Section 9.8.</w:t>
      </w:r>
    </w:p>
    <w:sectPr w:rsidR="00147891" w:rsidSect="00034616">
      <w:footerReference w:type="default" r:id="rId11"/>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0290" w14:textId="77777777" w:rsidR="002636B4" w:rsidRDefault="002636B4">
      <w:pPr>
        <w:spacing w:after="0" w:line="240" w:lineRule="auto"/>
      </w:pPr>
      <w:r>
        <w:separator/>
      </w:r>
    </w:p>
  </w:endnote>
  <w:endnote w:type="continuationSeparator" w:id="0">
    <w:p w14:paraId="705CE960" w14:textId="77777777" w:rsidR="002636B4" w:rsidRDefault="00263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D216" w14:textId="77777777" w:rsidR="00D84A52"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309F" w14:textId="77777777" w:rsidR="002636B4" w:rsidRDefault="002636B4">
      <w:r>
        <w:separator/>
      </w:r>
    </w:p>
  </w:footnote>
  <w:footnote w:type="continuationSeparator" w:id="0">
    <w:p w14:paraId="6C1BD85F" w14:textId="77777777" w:rsidR="002636B4" w:rsidRDefault="00263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068FA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6004925">
    <w:abstractNumId w:val="8"/>
  </w:num>
  <w:num w:numId="2" w16cid:durableId="850342817">
    <w:abstractNumId w:val="6"/>
  </w:num>
  <w:num w:numId="3" w16cid:durableId="672687760">
    <w:abstractNumId w:val="5"/>
  </w:num>
  <w:num w:numId="4" w16cid:durableId="2131128189">
    <w:abstractNumId w:val="4"/>
  </w:num>
  <w:num w:numId="5" w16cid:durableId="1250308703">
    <w:abstractNumId w:val="7"/>
  </w:num>
  <w:num w:numId="6" w16cid:durableId="530992607">
    <w:abstractNumId w:val="3"/>
  </w:num>
  <w:num w:numId="7" w16cid:durableId="2077819823">
    <w:abstractNumId w:val="2"/>
  </w:num>
  <w:num w:numId="8" w16cid:durableId="151915368">
    <w:abstractNumId w:val="1"/>
  </w:num>
  <w:num w:numId="9" w16cid:durableId="445974543">
    <w:abstractNumId w:val="0"/>
  </w:num>
  <w:num w:numId="10" w16cid:durableId="1789543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4A52"/>
    <w:rsid w:val="00147891"/>
    <w:rsid w:val="001E0BBC"/>
    <w:rsid w:val="002636B4"/>
    <w:rsid w:val="00643755"/>
    <w:rsid w:val="006800BB"/>
    <w:rsid w:val="00780CB6"/>
    <w:rsid w:val="00825DB9"/>
    <w:rsid w:val="00902CBD"/>
    <w:rsid w:val="00D84A52"/>
    <w:rsid w:val="00DF1C05"/>
    <w:rsid w:val="00EA4E69"/>
    <w:rsid w:val="00EE166E"/>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C7E0"/>
  <w15:docId w15:val="{E17A2F4D-430B-4B42-BE76-175CFE53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rFonts w:ascii="Arial" w:hAnsi="Arial"/>
      <w:b/>
      <w:spacing w:val="5"/>
      <w:kern w:val="28"/>
      <w:sz w:val="3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4"/>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Times New Roman" w:hAnsi="Times New Roman"/>
      <w:color w:val="000000"/>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7"/>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character" w:styleId="Hyperlink">
    <w:name w:val="Hyperlink"/>
    <w:basedOn w:val="DefaultParagraphFont"/>
    <w:uiPriority w:val="99"/>
    <w:unhideWhenUsed/>
    <w:rsid w:val="00780CB6"/>
    <w:rPr>
      <w:color w:val="0000FF" w:themeColor="hyperlink"/>
      <w:u w:val="single"/>
    </w:rPr>
  </w:style>
  <w:style w:type="character" w:styleId="UnresolvedMention">
    <w:name w:val="Unresolved Mention"/>
    <w:basedOn w:val="DefaultParagraphFont"/>
    <w:uiPriority w:val="99"/>
    <w:semiHidden/>
    <w:unhideWhenUsed/>
    <w:rsid w:val="00780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31</Pages>
  <Words>14494</Words>
  <Characters>82617</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Pareto Certificates and Evidence Gated Fusion for Adaptive Optimisation</dc:title>
  <dc:subject>Interval Pareto certificates objective fusion sharp gates and uniform adaptive preference reuse</dc:subject>
  <dc:creator>Debi Prasad Ghosh</dc:creator>
  <cp:keywords>ADE; multi-objective; scalarization; mixture evidence; neuroscience; agent harness</cp:keywords>
  <dc:description>V5 conceptual mathematical revision. Retained V4 numerical records qualified; no performance experiments rerun.</dc:description>
  <cp:lastModifiedBy>Debiprasad Ghosh</cp:lastModifiedBy>
  <cp:revision>6</cp:revision>
  <cp:lastPrinted>2026-10-30T05:10:00Z</cp:lastPrinted>
  <dcterms:created xsi:type="dcterms:W3CDTF">2026-10-17T15:14:00Z</dcterms:created>
  <dcterms:modified xsi:type="dcterms:W3CDTF">2026-10-30T05:18:00Z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Multi objective ADE with rigorous fusion and engineering harnesses</vt:lpwstr>
  </property>
</Properties>
</file>