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E3F" w14:textId="77777777" w:rsidR="00474F11" w:rsidRDefault="002D5A3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1 </w:t>
      </w:r>
    </w:p>
    <w:p w14:paraId="3B10C89B" w14:textId="77777777" w:rsidR="00474F11" w:rsidRDefault="002D5A3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Klausul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4.1  -</w:t>
      </w:r>
      <w:proofErr w:type="gramEnd"/>
      <w:r>
        <w:rPr>
          <w:b/>
          <w:sz w:val="36"/>
          <w:szCs w:val="36"/>
        </w:rPr>
        <w:t xml:space="preserve">   4.2  -  4.3</w:t>
      </w:r>
    </w:p>
    <w:p w14:paraId="0DECB21D" w14:textId="77777777" w:rsidR="00474F11" w:rsidRDefault="002D5A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 1</w:t>
      </w:r>
    </w:p>
    <w:p w14:paraId="4C79AE71" w14:textId="77777777" w:rsidR="00474F11" w:rsidRDefault="002D5A32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73260FD2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Maysarah</w:t>
      </w:r>
      <w:proofErr w:type="spellEnd"/>
    </w:p>
    <w:p w14:paraId="1639E546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Mumami</w:t>
      </w:r>
      <w:proofErr w:type="spellEnd"/>
    </w:p>
    <w:p w14:paraId="461D7D2E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Sari </w:t>
      </w:r>
      <w:proofErr w:type="spellStart"/>
      <w:r>
        <w:rPr>
          <w:color w:val="000000"/>
        </w:rPr>
        <w:t>Andarwati</w:t>
      </w:r>
      <w:proofErr w:type="spellEnd"/>
    </w:p>
    <w:p w14:paraId="745823E0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Shamad</w:t>
      </w:r>
      <w:proofErr w:type="spellEnd"/>
    </w:p>
    <w:p w14:paraId="7465443B" w14:textId="77777777" w:rsidR="00474F11" w:rsidRDefault="00474F11">
      <w:pPr>
        <w:ind w:left="360"/>
      </w:pPr>
    </w:p>
    <w:p w14:paraId="6BF76F03" w14:textId="77777777" w:rsidR="00474F11" w:rsidRDefault="002D5A32">
      <w:r>
        <w:t xml:space="preserve">Nama </w:t>
      </w:r>
      <w:proofErr w:type="spellStart"/>
      <w:proofErr w:type="gramStart"/>
      <w:r>
        <w:t>Organisasi</w:t>
      </w:r>
      <w:proofErr w:type="spellEnd"/>
      <w:r>
        <w:t xml:space="preserve"> :</w:t>
      </w:r>
      <w:proofErr w:type="gramEnd"/>
      <w:r>
        <w:t xml:space="preserve"> Bank XYZ</w:t>
      </w:r>
    </w:p>
    <w:p w14:paraId="0E6AAF5E" w14:textId="77777777" w:rsidR="00474F11" w:rsidRDefault="002D5A32">
      <w:r>
        <w:t xml:space="preserve">Ruang </w:t>
      </w:r>
      <w:proofErr w:type="spellStart"/>
      <w:proofErr w:type="gramStart"/>
      <w:r>
        <w:t>Lingkup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Layanan</w:t>
      </w:r>
      <w:proofErr w:type="spellEnd"/>
      <w:r>
        <w:t xml:space="preserve"> Mobile Banking</w:t>
      </w:r>
    </w:p>
    <w:p w14:paraId="2DD66491" w14:textId="77777777" w:rsidR="00474F11" w:rsidRDefault="00474F11"/>
    <w:p w14:paraId="14DCEA17" w14:textId="77777777" w:rsidR="00474F11" w:rsidRDefault="002D5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Faktor</w:t>
      </w:r>
      <w:proofErr w:type="spellEnd"/>
      <w:r>
        <w:rPr>
          <w:color w:val="000000"/>
        </w:rPr>
        <w:t xml:space="preserve"> Internal dan </w:t>
      </w:r>
      <w:proofErr w:type="spellStart"/>
      <w:r>
        <w:rPr>
          <w:color w:val="000000"/>
        </w:rPr>
        <w:t>Eksternal</w:t>
      </w:r>
      <w:proofErr w:type="spellEnd"/>
      <w:r>
        <w:rPr>
          <w:color w:val="000000"/>
        </w:rPr>
        <w:t xml:space="preserve"> </w:t>
      </w:r>
    </w:p>
    <w:tbl>
      <w:tblPr>
        <w:tblStyle w:val="a"/>
        <w:tblW w:w="911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2620"/>
        <w:gridCol w:w="2666"/>
        <w:gridCol w:w="2688"/>
      </w:tblGrid>
      <w:tr w:rsidR="00474F11" w14:paraId="4348782D" w14:textId="77777777" w:rsidTr="0047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7A0D3EE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620" w:type="dxa"/>
            <w:vAlign w:val="center"/>
          </w:tcPr>
          <w:p w14:paraId="6933403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2666" w:type="dxa"/>
            <w:vAlign w:val="center"/>
          </w:tcPr>
          <w:p w14:paraId="6E337A95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Internal</w:t>
            </w:r>
          </w:p>
        </w:tc>
        <w:tc>
          <w:tcPr>
            <w:tcW w:w="2688" w:type="dxa"/>
            <w:vAlign w:val="center"/>
          </w:tcPr>
          <w:p w14:paraId="47F2A8F4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Eksternal</w:t>
            </w:r>
            <w:proofErr w:type="spellEnd"/>
          </w:p>
        </w:tc>
      </w:tr>
      <w:tr w:rsidR="00474F11" w14:paraId="647621C3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Merge w:val="restart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4E37208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620" w:type="dxa"/>
            <w:vMerge w:val="restart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33E7AE24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Pencurian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</w:p>
        </w:tc>
        <w:tc>
          <w:tcPr>
            <w:tcW w:w="2666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5A105F69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Lemahnya</w:t>
            </w:r>
            <w:proofErr w:type="spellEnd"/>
            <w:r>
              <w:t xml:space="preserve"> internal control</w:t>
            </w:r>
          </w:p>
        </w:tc>
        <w:tc>
          <w:tcPr>
            <w:tcW w:w="2688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41293229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74F11" w14:paraId="434E4CA0" w14:textId="77777777" w:rsidTr="00474F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22FA3200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20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735CDCA6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6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4C89C46A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Masalah</w:t>
            </w:r>
            <w:proofErr w:type="spellEnd"/>
            <w:r>
              <w:t xml:space="preserve"> SDM</w:t>
            </w:r>
          </w:p>
        </w:tc>
        <w:tc>
          <w:tcPr>
            <w:tcW w:w="26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5C40F6F0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74F11" w14:paraId="3052CCF1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2DDE5E22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6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46CE072F" w14:textId="77777777" w:rsidR="00474F11" w:rsidRDefault="002D5A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Penipuan</w:t>
            </w:r>
            <w:proofErr w:type="spellEnd"/>
            <w:r>
              <w:t xml:space="preserve"> yang </w:t>
            </w:r>
            <w:proofErr w:type="spellStart"/>
            <w:r>
              <w:t>mengatas</w:t>
            </w:r>
            <w:proofErr w:type="spellEnd"/>
            <w:r>
              <w:t xml:space="preserve"> </w:t>
            </w:r>
            <w:proofErr w:type="spellStart"/>
            <w:r>
              <w:t>namakan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bank</w:t>
            </w:r>
          </w:p>
        </w:tc>
        <w:tc>
          <w:tcPr>
            <w:tcW w:w="26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68F65ED4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6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9DAF8"/>
            <w:vAlign w:val="center"/>
          </w:tcPr>
          <w:p w14:paraId="4EA0D32A" w14:textId="77777777" w:rsidR="00474F11" w:rsidRDefault="002D5A32">
            <w:pPr>
              <w:numPr>
                <w:ilvl w:val="0"/>
                <w:numId w:val="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Phising</w:t>
            </w:r>
            <w:proofErr w:type="spellEnd"/>
            <w:r>
              <w:t xml:space="preserve"> :</w:t>
            </w:r>
            <w:proofErr w:type="gramEnd"/>
            <w:r>
              <w:t xml:space="preserve"> Tindakan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user id,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bank/no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sah</w:t>
            </w:r>
            <w:proofErr w:type="spellEnd"/>
            <w:r>
              <w:t xml:space="preserve"> </w:t>
            </w:r>
          </w:p>
          <w:p w14:paraId="0AD1DE88" w14:textId="77777777" w:rsidR="00474F11" w:rsidRDefault="002D5A32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color w:val="2E3233"/>
                <w:sz w:val="18"/>
                <w:szCs w:val="18"/>
                <w:highlight w:val="white"/>
              </w:rPr>
              <w:t>tidak</w:t>
            </w:r>
            <w:proofErr w:type="spellEnd"/>
            <w:r>
              <w:rPr>
                <w:rFonts w:ascii="Arial" w:eastAsia="Arial" w:hAnsi="Arial" w:cs="Arial"/>
                <w:color w:val="2E32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E3233"/>
                <w:sz w:val="18"/>
                <w:szCs w:val="18"/>
                <w:highlight w:val="white"/>
              </w:rPr>
              <w:t>pe</w:t>
            </w:r>
            <w:r>
              <w:t>duli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gramStart"/>
            <w:r>
              <w:t xml:space="preserve">data  </w:t>
            </w:r>
            <w:proofErr w:type="spellStart"/>
            <w:r>
              <w:t>pribadi</w:t>
            </w:r>
            <w:proofErr w:type="spellEnd"/>
            <w:proofErr w:type="gramEnd"/>
          </w:p>
        </w:tc>
      </w:tr>
      <w:tr w:rsidR="00474F11" w14:paraId="479EC077" w14:textId="77777777" w:rsidTr="00474F1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738D029A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620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03A9D1F9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perundangan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</w:p>
        </w:tc>
        <w:tc>
          <w:tcPr>
            <w:tcW w:w="2666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24E8F308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688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17C04EE1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Ketaatan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perundangan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mobile banking</w:t>
            </w:r>
          </w:p>
        </w:tc>
      </w:tr>
      <w:tr w:rsidR="00474F11" w14:paraId="379C9BEF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304A6DF2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r>
              <w:rPr>
                <w:b w:val="0"/>
              </w:rPr>
              <w:lastRenderedPageBreak/>
              <w:t>4</w:t>
            </w:r>
          </w:p>
        </w:tc>
        <w:tc>
          <w:tcPr>
            <w:tcW w:w="2620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3268B92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Layanan</w:t>
            </w:r>
            <w:proofErr w:type="spellEnd"/>
            <w:r>
              <w:t xml:space="preserve"> Prima</w:t>
            </w:r>
          </w:p>
        </w:tc>
        <w:tc>
          <w:tcPr>
            <w:tcW w:w="2666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7693D7A5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prima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IT</w:t>
            </w:r>
          </w:p>
        </w:tc>
        <w:tc>
          <w:tcPr>
            <w:tcW w:w="2688" w:type="dxa"/>
            <w:tcBorders>
              <w:top w:val="single" w:sz="4" w:space="0" w:color="4472C4"/>
            </w:tcBorders>
            <w:shd w:val="clear" w:color="auto" w:fill="C9DAF8"/>
            <w:vAlign w:val="center"/>
          </w:tcPr>
          <w:p w14:paraId="20C4C3EA" w14:textId="77777777" w:rsidR="00474F11" w:rsidRDefault="0047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16F4F2" w14:textId="77777777" w:rsidR="00474F11" w:rsidRDefault="00474F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1BFA894" w14:textId="77777777" w:rsidR="00474F11" w:rsidRDefault="002D5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Kepentingan</w:t>
      </w:r>
      <w:proofErr w:type="spellEnd"/>
      <w:r>
        <w:rPr>
          <w:color w:val="000000"/>
        </w:rPr>
        <w:t xml:space="preserve"> para stakeholder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masing-masing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SMKI </w:t>
      </w:r>
    </w:p>
    <w:p w14:paraId="50B3063D" w14:textId="77777777" w:rsidR="00474F11" w:rsidRDefault="00474F1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993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420"/>
        <w:gridCol w:w="2610"/>
        <w:gridCol w:w="2338"/>
      </w:tblGrid>
      <w:tr w:rsidR="00474F11" w14:paraId="2F029032" w14:textId="77777777" w:rsidTr="0047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F032F25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420" w:type="dxa"/>
          </w:tcPr>
          <w:p w14:paraId="3834883E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Pemangku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Kepentingan</w:t>
            </w:r>
            <w:proofErr w:type="spellEnd"/>
          </w:p>
        </w:tc>
        <w:tc>
          <w:tcPr>
            <w:tcW w:w="2610" w:type="dxa"/>
          </w:tcPr>
          <w:p w14:paraId="525B784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Harapan</w:t>
            </w:r>
          </w:p>
        </w:tc>
        <w:tc>
          <w:tcPr>
            <w:tcW w:w="2338" w:type="dxa"/>
          </w:tcPr>
          <w:p w14:paraId="1A22401E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Kebutuhan</w:t>
            </w:r>
            <w:proofErr w:type="spellEnd"/>
          </w:p>
        </w:tc>
      </w:tr>
      <w:tr w:rsidR="00474F11" w14:paraId="5ADA5CA4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1062AB14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420" w:type="dxa"/>
            <w:vAlign w:val="center"/>
          </w:tcPr>
          <w:p w14:paraId="3449DABC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Nasabah</w:t>
            </w:r>
            <w:proofErr w:type="spellEnd"/>
          </w:p>
        </w:tc>
        <w:tc>
          <w:tcPr>
            <w:tcW w:w="2610" w:type="dxa"/>
            <w:vAlign w:val="center"/>
          </w:tcPr>
          <w:p w14:paraId="1059282E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2338" w:type="dxa"/>
            <w:vAlign w:val="center"/>
          </w:tcPr>
          <w:p w14:paraId="476723EF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474F11" w14:paraId="7209B4A7" w14:textId="77777777" w:rsidTr="0047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620F119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420" w:type="dxa"/>
            <w:vAlign w:val="center"/>
          </w:tcPr>
          <w:p w14:paraId="38CE06AD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Bank</w:t>
            </w:r>
            <w:proofErr w:type="gramStart"/>
            <w:r>
              <w:t xml:space="preserve">/  </w:t>
            </w:r>
            <w:proofErr w:type="spellStart"/>
            <w:r>
              <w:t>Organisasi</w:t>
            </w:r>
            <w:proofErr w:type="spellEnd"/>
            <w:proofErr w:type="gramEnd"/>
            <w:r>
              <w:t xml:space="preserve"> Financial lain</w:t>
            </w:r>
          </w:p>
        </w:tc>
        <w:tc>
          <w:tcPr>
            <w:tcW w:w="2610" w:type="dxa"/>
            <w:vAlign w:val="center"/>
          </w:tcPr>
          <w:p w14:paraId="52E2F656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bank </w:t>
            </w:r>
            <w:proofErr w:type="spellStart"/>
            <w:r>
              <w:t>lancar</w:t>
            </w:r>
            <w:proofErr w:type="spellEnd"/>
            <w:r>
              <w:t xml:space="preserve"> dan </w:t>
            </w:r>
            <w:proofErr w:type="spellStart"/>
            <w:r>
              <w:t>aman</w:t>
            </w:r>
            <w:proofErr w:type="spellEnd"/>
            <w:r>
              <w:t xml:space="preserve"> </w:t>
            </w:r>
          </w:p>
        </w:tc>
        <w:tc>
          <w:tcPr>
            <w:tcW w:w="2338" w:type="dxa"/>
            <w:vAlign w:val="center"/>
          </w:tcPr>
          <w:p w14:paraId="681112C3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  <w:r>
              <w:t xml:space="preserve"> bank</w:t>
            </w:r>
          </w:p>
        </w:tc>
      </w:tr>
      <w:tr w:rsidR="00474F11" w14:paraId="2048769A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964677F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420" w:type="dxa"/>
            <w:vAlign w:val="center"/>
          </w:tcPr>
          <w:p w14:paraId="1BE364A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Developer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610" w:type="dxa"/>
            <w:vAlign w:val="center"/>
          </w:tcPr>
          <w:p w14:paraId="7D993BB2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error</w:t>
            </w:r>
          </w:p>
        </w:tc>
        <w:tc>
          <w:tcPr>
            <w:tcW w:w="2338" w:type="dxa"/>
            <w:vAlign w:val="center"/>
          </w:tcPr>
          <w:p w14:paraId="7A94247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</w:p>
        </w:tc>
      </w:tr>
      <w:tr w:rsidR="00474F11" w14:paraId="104A69FF" w14:textId="77777777" w:rsidTr="0047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16FAA56D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420" w:type="dxa"/>
            <w:vAlign w:val="center"/>
          </w:tcPr>
          <w:p w14:paraId="28A8F1E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</w:p>
          <w:p w14:paraId="74552AA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</w:t>
            </w:r>
          </w:p>
        </w:tc>
        <w:tc>
          <w:tcPr>
            <w:tcW w:w="2610" w:type="dxa"/>
            <w:vAlign w:val="center"/>
          </w:tcPr>
          <w:p w14:paraId="0252D6B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memfasili</w:t>
            </w:r>
            <w:r>
              <w:t>tasi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trafik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338" w:type="dxa"/>
            <w:vAlign w:val="center"/>
          </w:tcPr>
          <w:p w14:paraId="3F03CFDF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74F11" w14:paraId="1378EE6B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11D106CC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420" w:type="dxa"/>
            <w:vAlign w:val="center"/>
          </w:tcPr>
          <w:p w14:paraId="1AFE8B91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Infrastruktur</w:t>
            </w:r>
            <w:proofErr w:type="spellEnd"/>
            <w:r>
              <w:t xml:space="preserve"> TI external (AWS)</w:t>
            </w:r>
          </w:p>
        </w:tc>
        <w:tc>
          <w:tcPr>
            <w:tcW w:w="2610" w:type="dxa"/>
            <w:vAlign w:val="center"/>
          </w:tcPr>
          <w:p w14:paraId="323CE9C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Infrastruktur</w:t>
            </w:r>
            <w:proofErr w:type="spellEnd"/>
            <w:r>
              <w:t xml:space="preserve"> outsourcing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trafik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</w:p>
        </w:tc>
        <w:tc>
          <w:tcPr>
            <w:tcW w:w="2338" w:type="dxa"/>
            <w:vAlign w:val="center"/>
          </w:tcPr>
          <w:p w14:paraId="65E168A8" w14:textId="77777777" w:rsidR="00474F11" w:rsidRDefault="002D5A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15F3C3D" w14:textId="77777777" w:rsidR="00474F11" w:rsidRDefault="00474F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D96C0EE" w14:textId="77777777" w:rsidR="00474F11" w:rsidRDefault="002D5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perundang-undangan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masing-masing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SMKI</w:t>
      </w:r>
    </w:p>
    <w:p w14:paraId="7B746351" w14:textId="77777777" w:rsidR="00474F11" w:rsidRDefault="00474F11">
      <w:pPr>
        <w:ind w:left="360"/>
      </w:pPr>
    </w:p>
    <w:tbl>
      <w:tblPr>
        <w:tblStyle w:val="a1"/>
        <w:tblW w:w="859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4417"/>
        <w:gridCol w:w="3371"/>
      </w:tblGrid>
      <w:tr w:rsidR="00474F11" w14:paraId="51F75753" w14:textId="77777777" w:rsidTr="0047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</w:tcPr>
          <w:p w14:paraId="3B131A1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4417" w:type="dxa"/>
          </w:tcPr>
          <w:p w14:paraId="66DD4510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Perundangan</w:t>
            </w:r>
            <w:proofErr w:type="spellEnd"/>
          </w:p>
        </w:tc>
        <w:tc>
          <w:tcPr>
            <w:tcW w:w="3371" w:type="dxa"/>
          </w:tcPr>
          <w:p w14:paraId="51AF6D0C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Tentang</w:t>
            </w:r>
            <w:proofErr w:type="spellEnd"/>
          </w:p>
        </w:tc>
      </w:tr>
      <w:tr w:rsidR="00474F11" w14:paraId="23CB5127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8DDEF8F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4417" w:type="dxa"/>
            <w:vAlign w:val="center"/>
          </w:tcPr>
          <w:p w14:paraId="153C03B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Undang</w:t>
            </w:r>
            <w:proofErr w:type="spellEnd"/>
            <w:r>
              <w:t xml:space="preserve"> -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10 </w:t>
            </w:r>
            <w:proofErr w:type="spellStart"/>
            <w:r>
              <w:t>Tahun</w:t>
            </w:r>
            <w:proofErr w:type="spellEnd"/>
            <w:r>
              <w:t xml:space="preserve"> 1998</w:t>
            </w:r>
          </w:p>
        </w:tc>
        <w:tc>
          <w:tcPr>
            <w:tcW w:w="3371" w:type="dxa"/>
            <w:vAlign w:val="center"/>
          </w:tcPr>
          <w:p w14:paraId="3A6730E3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Undang</w:t>
            </w:r>
            <w:proofErr w:type="spellEnd"/>
            <w:r>
              <w:t xml:space="preserve"> -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</w:p>
        </w:tc>
      </w:tr>
      <w:tr w:rsidR="00474F11" w14:paraId="62709666" w14:textId="77777777" w:rsidTr="00474F11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9F5131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</w:rPr>
              <w:t>2.</w:t>
            </w:r>
          </w:p>
        </w:tc>
        <w:tc>
          <w:tcPr>
            <w:tcW w:w="4417" w:type="dxa"/>
            <w:vAlign w:val="center"/>
          </w:tcPr>
          <w:p w14:paraId="59EA55F6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8 </w:t>
            </w:r>
            <w:proofErr w:type="spellStart"/>
            <w:r>
              <w:t>tahun</w:t>
            </w:r>
            <w:proofErr w:type="spellEnd"/>
            <w:r>
              <w:t xml:space="preserve"> 1999</w:t>
            </w:r>
          </w:p>
        </w:tc>
        <w:tc>
          <w:tcPr>
            <w:tcW w:w="3371" w:type="dxa"/>
            <w:vAlign w:val="center"/>
          </w:tcPr>
          <w:p w14:paraId="0DF09AD5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kedudukan</w:t>
            </w:r>
            <w:proofErr w:type="spellEnd"/>
            <w:r>
              <w:t xml:space="preserve"> yang </w:t>
            </w:r>
            <w:proofErr w:type="spellStart"/>
            <w:r>
              <w:t>seimbang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pelaku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.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sengeketa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melalui</w:t>
            </w:r>
            <w:proofErr w:type="spellEnd"/>
            <w:r>
              <w:t xml:space="preserve"> </w:t>
            </w:r>
            <w:proofErr w:type="spellStart"/>
            <w:r>
              <w:t>pengadilan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dil</w:t>
            </w:r>
            <w:r>
              <w:t>uar</w:t>
            </w:r>
            <w:proofErr w:type="spellEnd"/>
            <w:r>
              <w:t xml:space="preserve"> </w:t>
            </w:r>
            <w:proofErr w:type="spellStart"/>
            <w:r>
              <w:t>pengadilan</w:t>
            </w:r>
            <w:proofErr w:type="spellEnd"/>
            <w:r>
              <w:t xml:space="preserve"> </w:t>
            </w:r>
          </w:p>
        </w:tc>
      </w:tr>
      <w:tr w:rsidR="00474F11" w14:paraId="43E0EFF2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446A9AA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</w:rPr>
              <w:lastRenderedPageBreak/>
              <w:t>3.</w:t>
            </w:r>
          </w:p>
        </w:tc>
        <w:tc>
          <w:tcPr>
            <w:tcW w:w="4417" w:type="dxa"/>
            <w:vAlign w:val="center"/>
          </w:tcPr>
          <w:p w14:paraId="75E793B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2011</w:t>
            </w:r>
          </w:p>
        </w:tc>
        <w:tc>
          <w:tcPr>
            <w:tcW w:w="3371" w:type="dxa"/>
            <w:vAlign w:val="center"/>
          </w:tcPr>
          <w:p w14:paraId="501B56E2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Tentang</w:t>
            </w:r>
            <w:proofErr w:type="spellEnd"/>
            <w:r>
              <w:t xml:space="preserve"> Transfer Dana yang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nasabah</w:t>
            </w:r>
            <w:proofErr w:type="spellEnd"/>
            <w:r>
              <w:t xml:space="preserve">  </w:t>
            </w:r>
            <w:proofErr w:type="spellStart"/>
            <w:r>
              <w:t>terhadap</w:t>
            </w:r>
            <w:proofErr w:type="spellEnd"/>
            <w:proofErr w:type="gramEnd"/>
            <w:r>
              <w:t xml:space="preserve"> transfer dana </w:t>
            </w:r>
            <w:proofErr w:type="spellStart"/>
            <w:r>
              <w:t>dari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banking</w:t>
            </w:r>
          </w:p>
        </w:tc>
      </w:tr>
      <w:tr w:rsidR="00474F11" w14:paraId="4A4DC1EF" w14:textId="77777777" w:rsidTr="00474F11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761FA92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</w:rPr>
              <w:t>4.</w:t>
            </w:r>
          </w:p>
        </w:tc>
        <w:tc>
          <w:tcPr>
            <w:tcW w:w="4417" w:type="dxa"/>
            <w:vAlign w:val="center"/>
          </w:tcPr>
          <w:p w14:paraId="74D67CD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19 </w:t>
            </w:r>
            <w:proofErr w:type="spellStart"/>
            <w:r>
              <w:t>tahun</w:t>
            </w:r>
            <w:proofErr w:type="spellEnd"/>
            <w:r>
              <w:t xml:space="preserve"> 2016</w:t>
            </w:r>
          </w:p>
        </w:tc>
        <w:tc>
          <w:tcPr>
            <w:tcW w:w="3371" w:type="dxa"/>
            <w:vAlign w:val="center"/>
          </w:tcPr>
          <w:p w14:paraId="63804116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,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para </w:t>
            </w: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elektonik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mobile banking</w:t>
            </w:r>
          </w:p>
        </w:tc>
      </w:tr>
      <w:tr w:rsidR="00474F11" w14:paraId="00C9F92B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415B89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</w:rPr>
              <w:t>5.</w:t>
            </w:r>
          </w:p>
        </w:tc>
        <w:tc>
          <w:tcPr>
            <w:tcW w:w="4417" w:type="dxa"/>
            <w:vAlign w:val="center"/>
          </w:tcPr>
          <w:p w14:paraId="7057D06C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Peraturan</w:t>
            </w:r>
            <w:proofErr w:type="spellEnd"/>
            <w:r>
              <w:t xml:space="preserve"> Bank Indonesia </w:t>
            </w:r>
            <w:proofErr w:type="spellStart"/>
            <w:r>
              <w:t>Nomor</w:t>
            </w:r>
            <w:proofErr w:type="spellEnd"/>
            <w:r>
              <w:t xml:space="preserve"> 7/6/PBI/2005 </w:t>
            </w:r>
          </w:p>
        </w:tc>
        <w:tc>
          <w:tcPr>
            <w:tcW w:w="3371" w:type="dxa"/>
            <w:vAlign w:val="center"/>
          </w:tcPr>
          <w:p w14:paraId="73E3AF53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Transparansi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Bank dan </w:t>
            </w:r>
            <w:proofErr w:type="spellStart"/>
            <w:r>
              <w:t>Penggunaan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,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ahwa</w:t>
            </w:r>
            <w:proofErr w:type="spellEnd"/>
            <w:r>
              <w:t xml:space="preserve"> bank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transparansi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bank dan </w:t>
            </w:r>
            <w:proofErr w:type="spellStart"/>
            <w:r>
              <w:t>penggunaan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>.</w:t>
            </w:r>
          </w:p>
        </w:tc>
      </w:tr>
      <w:tr w:rsidR="00474F11" w14:paraId="2E623DC3" w14:textId="77777777" w:rsidTr="00474F11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F689D64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4417" w:type="dxa"/>
            <w:vAlign w:val="center"/>
          </w:tcPr>
          <w:p w14:paraId="4B6AFD10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Peraturan</w:t>
            </w:r>
            <w:proofErr w:type="spellEnd"/>
            <w:r>
              <w:t xml:space="preserve"> Bank Indonesia </w:t>
            </w:r>
            <w:proofErr w:type="spellStart"/>
            <w:r>
              <w:t>Nomor</w:t>
            </w:r>
            <w:proofErr w:type="spellEnd"/>
            <w:r>
              <w:t xml:space="preserve"> 14/27/PBI/2012</w:t>
            </w:r>
          </w:p>
        </w:tc>
        <w:tc>
          <w:tcPr>
            <w:tcW w:w="3371" w:type="dxa"/>
            <w:vAlign w:val="center"/>
          </w:tcPr>
          <w:p w14:paraId="627B3E27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t>entang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Program Anti </w:t>
            </w:r>
            <w:proofErr w:type="spellStart"/>
            <w:r>
              <w:t>Pencucian</w:t>
            </w:r>
            <w:proofErr w:type="spellEnd"/>
            <w:r>
              <w:t xml:space="preserve"> Uang dan </w:t>
            </w:r>
            <w:proofErr w:type="spellStart"/>
            <w:r>
              <w:t>Pencegahan</w:t>
            </w:r>
            <w:proofErr w:type="spellEnd"/>
            <w:r>
              <w:t xml:space="preserve"> </w:t>
            </w:r>
            <w:proofErr w:type="spellStart"/>
            <w:r>
              <w:t>Pendanaan</w:t>
            </w:r>
            <w:proofErr w:type="spellEnd"/>
            <w:r>
              <w:t xml:space="preserve"> </w:t>
            </w:r>
            <w:proofErr w:type="spellStart"/>
            <w:r>
              <w:t>Terorisme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Bank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meliputi</w:t>
            </w:r>
            <w:proofErr w:type="spellEnd"/>
            <w:r>
              <w:t>:</w:t>
            </w:r>
          </w:p>
          <w:p w14:paraId="2D0C5B3A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transfer dana.</w:t>
            </w:r>
          </w:p>
          <w:p w14:paraId="4E14799D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area </w:t>
            </w:r>
            <w:proofErr w:type="spellStart"/>
            <w:r>
              <w:t>berisiko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.</w:t>
            </w:r>
          </w:p>
          <w:p w14:paraId="028A690F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Pengaturan</w:t>
            </w:r>
            <w:proofErr w:type="spellEnd"/>
            <w:r>
              <w:t xml:space="preserve"> Customer Due </w:t>
            </w:r>
            <w:proofErr w:type="spellStart"/>
            <w:r>
              <w:t>Dilligence</w:t>
            </w:r>
            <w:proofErr w:type="spellEnd"/>
            <w:r>
              <w:t xml:space="preserve"> (CDD)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dal</w:t>
            </w:r>
            <w:r>
              <w:t>am</w:t>
            </w:r>
            <w:proofErr w:type="spellEnd"/>
            <w:r>
              <w:t xml:space="preserve"> </w:t>
            </w:r>
            <w:proofErr w:type="spellStart"/>
            <w:r>
              <w:t>rangka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strategi </w:t>
            </w:r>
            <w:proofErr w:type="spellStart"/>
            <w:r>
              <w:t>nasional</w:t>
            </w:r>
            <w:proofErr w:type="spellEnd"/>
            <w:r>
              <w:t xml:space="preserve"> dan global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inklusif</w:t>
            </w:r>
            <w:proofErr w:type="spellEnd"/>
            <w:r>
              <w:t xml:space="preserve"> (financial inclusion).</w:t>
            </w:r>
          </w:p>
          <w:p w14:paraId="12ED22F1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Cross Border Correspondent Banking.</w:t>
            </w:r>
          </w:p>
        </w:tc>
      </w:tr>
      <w:tr w:rsidR="00474F11" w14:paraId="77BFC0E8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9E833E4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4417" w:type="dxa"/>
            <w:vAlign w:val="center"/>
          </w:tcPr>
          <w:p w14:paraId="2C1B6156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Jasa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1/POJK.07/2013 </w:t>
            </w:r>
          </w:p>
        </w:tc>
        <w:tc>
          <w:tcPr>
            <w:tcW w:w="3371" w:type="dxa"/>
            <w:vAlign w:val="center"/>
          </w:tcPr>
          <w:p w14:paraId="3171D9DD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Jas</w:t>
            </w:r>
            <w:r>
              <w:t xml:space="preserve">a </w:t>
            </w:r>
            <w:proofErr w:type="spellStart"/>
            <w:r>
              <w:t>Keuangan</w:t>
            </w:r>
            <w:proofErr w:type="spellEnd"/>
            <w:r>
              <w:t xml:space="preserve">.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transparansi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perlakuan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, </w:t>
            </w:r>
            <w:proofErr w:type="spellStart"/>
            <w:r>
              <w:t>keandalan</w:t>
            </w:r>
            <w:proofErr w:type="spellEnd"/>
            <w:r>
              <w:t xml:space="preserve">, </w:t>
            </w:r>
            <w:proofErr w:type="spellStart"/>
            <w:r>
              <w:t>kerahasiaan</w:t>
            </w:r>
            <w:proofErr w:type="spellEnd"/>
            <w:r>
              <w:t xml:space="preserve"> dan </w:t>
            </w:r>
            <w:proofErr w:type="spellStart"/>
            <w:r>
              <w:t>keamanan</w:t>
            </w:r>
            <w:proofErr w:type="spellEnd"/>
            <w:r>
              <w:t xml:space="preserve"> data/</w:t>
            </w:r>
            <w:proofErr w:type="spellStart"/>
            <w:r>
              <w:t>informasi</w:t>
            </w:r>
            <w:proofErr w:type="spellEnd"/>
            <w:r>
              <w:t xml:space="preserve">. Bank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akurat</w:t>
            </w:r>
            <w:proofErr w:type="spellEnd"/>
            <w:r>
              <w:t xml:space="preserve">, </w:t>
            </w:r>
            <w:proofErr w:type="spellStart"/>
            <w:r>
              <w:t>jujur</w:t>
            </w:r>
            <w:proofErr w:type="spellEnd"/>
            <w:r>
              <w:t xml:space="preserve">,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menyesatkan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nasab</w:t>
            </w:r>
            <w:r>
              <w:t>ah</w:t>
            </w:r>
            <w:proofErr w:type="spellEnd"/>
            <w:r>
              <w:t>.</w:t>
            </w:r>
          </w:p>
        </w:tc>
      </w:tr>
      <w:tr w:rsidR="00474F11" w14:paraId="794FEE90" w14:textId="77777777" w:rsidTr="00474F11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2588B61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lastRenderedPageBreak/>
              <w:t>8.</w:t>
            </w:r>
          </w:p>
        </w:tc>
        <w:tc>
          <w:tcPr>
            <w:tcW w:w="4417" w:type="dxa"/>
            <w:vAlign w:val="center"/>
          </w:tcPr>
          <w:p w14:paraId="69E7CEE5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Peraturan</w:t>
            </w:r>
            <w:proofErr w:type="spellEnd"/>
            <w:r>
              <w:t xml:space="preserve"> Bank Indonesia </w:t>
            </w:r>
            <w:proofErr w:type="spellStart"/>
            <w:r>
              <w:t>Nomor</w:t>
            </w:r>
            <w:proofErr w:type="spellEnd"/>
            <w:r>
              <w:t xml:space="preserve"> 18/9/PBI/2016</w:t>
            </w:r>
          </w:p>
        </w:tc>
        <w:tc>
          <w:tcPr>
            <w:tcW w:w="3371" w:type="dxa"/>
            <w:vAlign w:val="center"/>
          </w:tcPr>
          <w:p w14:paraId="7CF90C0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Pengaturan</w:t>
            </w:r>
            <w:proofErr w:type="spellEnd"/>
            <w:r>
              <w:t xml:space="preserve"> dan </w:t>
            </w:r>
            <w:proofErr w:type="spellStart"/>
            <w:r>
              <w:t>Pengawasan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dan </w:t>
            </w:r>
            <w:proofErr w:type="spellStart"/>
            <w:r>
              <w:t>Pengelolaan</w:t>
            </w:r>
            <w:proofErr w:type="spellEnd"/>
            <w:r>
              <w:t xml:space="preserve"> Uang Rupiah. Bank Indonesia </w:t>
            </w:r>
            <w:proofErr w:type="spellStart"/>
            <w:r>
              <w:t>selaku</w:t>
            </w:r>
            <w:proofErr w:type="spellEnd"/>
            <w:r>
              <w:t xml:space="preserve"> bank </w:t>
            </w:r>
            <w:proofErr w:type="spellStart"/>
            <w:r>
              <w:t>sentral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dan </w:t>
            </w:r>
            <w:proofErr w:type="spellStart"/>
            <w:r>
              <w:t>pengawasan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dan </w:t>
            </w:r>
            <w:proofErr w:type="spellStart"/>
            <w:r>
              <w:t>pengelolaan</w:t>
            </w:r>
            <w:proofErr w:type="spellEnd"/>
            <w:r>
              <w:t xml:space="preserve"> uang rupiah.</w:t>
            </w:r>
          </w:p>
        </w:tc>
      </w:tr>
      <w:tr w:rsidR="00474F11" w14:paraId="2C5EEEC1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A801229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9.</w:t>
            </w:r>
          </w:p>
        </w:tc>
        <w:tc>
          <w:tcPr>
            <w:tcW w:w="4417" w:type="dxa"/>
            <w:vAlign w:val="center"/>
          </w:tcPr>
          <w:p w14:paraId="6E456E82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Jasa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38/POJK.03/2016</w:t>
            </w:r>
          </w:p>
        </w:tc>
        <w:tc>
          <w:tcPr>
            <w:tcW w:w="3371" w:type="dxa"/>
            <w:vAlign w:val="center"/>
          </w:tcPr>
          <w:p w14:paraId="78AD533B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Penera</w:t>
            </w:r>
            <w:r>
              <w:t>pan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oleh Bank </w:t>
            </w:r>
            <w:proofErr w:type="spellStart"/>
            <w:r>
              <w:t>Umum</w:t>
            </w:r>
            <w:proofErr w:type="spellEnd"/>
            <w:r>
              <w:t xml:space="preserve">. Dimana bank yang </w:t>
            </w:r>
            <w:proofErr w:type="spellStart"/>
            <w:r>
              <w:t>menyelenggarakan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electronic banking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menegenai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electronic banking dan </w:t>
            </w:r>
            <w:proofErr w:type="spellStart"/>
            <w:r>
              <w:t>pengamana</w:t>
            </w:r>
            <w:r>
              <w:t>nnya</w:t>
            </w:r>
            <w:proofErr w:type="spellEnd"/>
            <w:r>
              <w:t>.</w:t>
            </w:r>
          </w:p>
        </w:tc>
      </w:tr>
      <w:tr w:rsidR="00474F11" w14:paraId="064FBCC0" w14:textId="77777777" w:rsidTr="00474F11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0FA2061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4417" w:type="dxa"/>
            <w:vAlign w:val="center"/>
          </w:tcPr>
          <w:p w14:paraId="26B900E8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Jasa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12/POJK.03/2018</w:t>
            </w:r>
          </w:p>
        </w:tc>
        <w:tc>
          <w:tcPr>
            <w:tcW w:w="3371" w:type="dxa"/>
            <w:vAlign w:val="center"/>
          </w:tcPr>
          <w:p w14:paraId="22648BB1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Digital oleh Bank </w:t>
            </w:r>
            <w:proofErr w:type="spellStart"/>
            <w:r>
              <w:t>Umum</w:t>
            </w:r>
            <w:proofErr w:type="spellEnd"/>
            <w:r>
              <w:t xml:space="preserve">, bank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,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kehati-hatian</w:t>
            </w:r>
            <w:proofErr w:type="spellEnd"/>
          </w:p>
        </w:tc>
      </w:tr>
      <w:tr w:rsidR="00474F11" w14:paraId="5E6ED0B8" w14:textId="77777777" w:rsidTr="0047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3C08D51C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4417" w:type="dxa"/>
            <w:vAlign w:val="center"/>
          </w:tcPr>
          <w:p w14:paraId="39E47853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Jasa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18/POJK.07/2018</w:t>
            </w:r>
          </w:p>
        </w:tc>
        <w:tc>
          <w:tcPr>
            <w:tcW w:w="3371" w:type="dxa"/>
            <w:vAlign w:val="center"/>
          </w:tcPr>
          <w:p w14:paraId="0CE8EA3D" w14:textId="77777777" w:rsidR="00474F11" w:rsidRDefault="002D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>
              <w:t>ngaduan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di </w:t>
            </w:r>
            <w:proofErr w:type="spellStart"/>
            <w:r>
              <w:t>Sektor</w:t>
            </w:r>
            <w:proofErr w:type="spellEnd"/>
            <w:r>
              <w:t xml:space="preserve"> Jasa </w:t>
            </w:r>
            <w:proofErr w:type="spellStart"/>
            <w:r>
              <w:t>Keuangan</w:t>
            </w:r>
            <w:proofErr w:type="spellEnd"/>
            <w:r>
              <w:t xml:space="preserve">, bank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terselenggarakannya</w:t>
            </w:r>
            <w:proofErr w:type="spellEnd"/>
            <w:r>
              <w:t xml:space="preserve"> </w:t>
            </w:r>
            <w:proofErr w:type="spellStart"/>
            <w:r>
              <w:t>mekasnisme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pengaduan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memadai</w:t>
            </w:r>
            <w:proofErr w:type="spellEnd"/>
            <w:r>
              <w:t>.</w:t>
            </w:r>
          </w:p>
        </w:tc>
      </w:tr>
    </w:tbl>
    <w:p w14:paraId="5C4A0346" w14:textId="77777777" w:rsidR="00474F11" w:rsidRDefault="00474F11"/>
    <w:p w14:paraId="1E6C8BDE" w14:textId="77777777" w:rsidR="00474F11" w:rsidRDefault="00474F11"/>
    <w:p w14:paraId="453E8BA8" w14:textId="77777777" w:rsidR="00474F11" w:rsidRDefault="002D5A32">
      <w:pPr>
        <w:numPr>
          <w:ilvl w:val="0"/>
          <w:numId w:val="3"/>
        </w:numPr>
      </w:pPr>
      <w:proofErr w:type="spellStart"/>
      <w:r>
        <w:t>Kebijakan</w:t>
      </w:r>
      <w:proofErr w:type="spellEnd"/>
    </w:p>
    <w:p w14:paraId="0B8074DD" w14:textId="77777777" w:rsidR="00474F11" w:rsidRDefault="002D5A32">
      <w:pPr>
        <w:ind w:left="72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XYZ </w:t>
      </w:r>
      <w:proofErr w:type="spellStart"/>
      <w:r>
        <w:t>berkomitmen</w:t>
      </w:r>
      <w:proofErr w:type="spellEnd"/>
      <w:r>
        <w:t xml:space="preserve">: </w:t>
      </w:r>
    </w:p>
    <w:p w14:paraId="5A100B0A" w14:textId="77777777" w:rsidR="00474F11" w:rsidRDefault="002D5A32">
      <w:pPr>
        <w:ind w:left="720"/>
        <w:jc w:val="both"/>
      </w:pPr>
      <w:r>
        <w:t xml:space="preserve">a)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SMKI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; </w:t>
      </w:r>
    </w:p>
    <w:p w14:paraId="348466C9" w14:textId="77777777" w:rsidR="00474F11" w:rsidRDefault="002D5A32">
      <w:pPr>
        <w:ind w:left="720"/>
        <w:jc w:val="both"/>
      </w:pPr>
      <w:r>
        <w:t xml:space="preserve">b) </w:t>
      </w:r>
      <w:proofErr w:type="spellStart"/>
      <w:proofErr w:type="gramStart"/>
      <w:r>
        <w:t>menyediakan</w:t>
      </w:r>
      <w:proofErr w:type="spellEnd"/>
      <w:r>
        <w:t xml:space="preserve">  </w:t>
      </w:r>
      <w:proofErr w:type="spellStart"/>
      <w:r>
        <w:t>sarana</w:t>
      </w:r>
      <w:proofErr w:type="spellEnd"/>
      <w:proofErr w:type="gramEnd"/>
      <w:r>
        <w:t xml:space="preserve"> dan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; </w:t>
      </w:r>
    </w:p>
    <w:p w14:paraId="5667F2ED" w14:textId="77777777" w:rsidR="00474F11" w:rsidRDefault="002D5A32">
      <w:pPr>
        <w:ind w:left="720"/>
        <w:jc w:val="both"/>
      </w:pPr>
      <w:r>
        <w:t xml:space="preserve">c)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; </w:t>
      </w:r>
    </w:p>
    <w:p w14:paraId="6CDF59FE" w14:textId="77777777" w:rsidR="00474F11" w:rsidRDefault="002D5A32">
      <w:pPr>
        <w:ind w:left="720"/>
        <w:jc w:val="both"/>
      </w:pPr>
      <w:r>
        <w:t xml:space="preserve">d)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stakeholder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jadwal</w:t>
      </w:r>
      <w:proofErr w:type="spellEnd"/>
      <w:r>
        <w:t xml:space="preserve"> ;</w:t>
      </w:r>
      <w:proofErr w:type="gramEnd"/>
      <w:r>
        <w:t xml:space="preserve"> </w:t>
      </w:r>
    </w:p>
    <w:p w14:paraId="4F8C54B1" w14:textId="77777777" w:rsidR="00474F11" w:rsidRDefault="00474F11">
      <w:pPr>
        <w:ind w:left="720"/>
      </w:pPr>
    </w:p>
    <w:p w14:paraId="5599E809" w14:textId="77777777" w:rsidR="00474F11" w:rsidRDefault="002D5A32">
      <w:pPr>
        <w:numPr>
          <w:ilvl w:val="0"/>
          <w:numId w:val="3"/>
        </w:numPr>
      </w:pPr>
      <w:proofErr w:type="gramStart"/>
      <w:r>
        <w:t>Peran ,</w:t>
      </w:r>
      <w:proofErr w:type="gramEnd"/>
      <w:r>
        <w:t xml:space="preserve"> </w:t>
      </w:r>
      <w:proofErr w:type="spellStart"/>
      <w:r>
        <w:t>Tanggung</w:t>
      </w:r>
      <w:proofErr w:type="spellEnd"/>
      <w:r>
        <w:t xml:space="preserve"> Jawab dan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Organis</w:t>
      </w:r>
      <w:r>
        <w:t>asi</w:t>
      </w:r>
      <w:proofErr w:type="spellEnd"/>
    </w:p>
    <w:p w14:paraId="0C678407" w14:textId="77777777" w:rsidR="00474F11" w:rsidRDefault="002D5A32">
      <w:pPr>
        <w:ind w:left="720"/>
      </w:pPr>
      <w:r>
        <w:rPr>
          <w:noProof/>
        </w:rPr>
        <w:drawing>
          <wp:inline distT="114300" distB="114300" distL="114300" distR="114300" wp14:anchorId="73446806" wp14:editId="2257AAF0">
            <wp:extent cx="4976813" cy="2863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863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0C373" w14:textId="77777777" w:rsidR="00474F11" w:rsidRDefault="00474F11">
      <w:pPr>
        <w:ind w:left="720"/>
      </w:pPr>
    </w:p>
    <w:p w14:paraId="21971AD9" w14:textId="77777777" w:rsidR="00474F11" w:rsidRDefault="00474F11">
      <w:pPr>
        <w:ind w:left="720"/>
      </w:pPr>
    </w:p>
    <w:tbl>
      <w:tblPr>
        <w:tblStyle w:val="a2"/>
        <w:tblW w:w="784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815"/>
        <w:gridCol w:w="5025"/>
      </w:tblGrid>
      <w:tr w:rsidR="00474F11" w14:paraId="7226205C" w14:textId="77777777">
        <w:tc>
          <w:tcPr>
            <w:tcW w:w="100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CB47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81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3179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Peran</w:t>
            </w:r>
          </w:p>
        </w:tc>
        <w:tc>
          <w:tcPr>
            <w:tcW w:w="502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97CB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Tanggung</w:t>
            </w:r>
            <w:proofErr w:type="spellEnd"/>
            <w:r>
              <w:rPr>
                <w:b/>
                <w:sz w:val="24"/>
                <w:szCs w:val="24"/>
              </w:rPr>
              <w:t xml:space="preserve"> Jawab</w:t>
            </w:r>
          </w:p>
        </w:tc>
      </w:tr>
      <w:tr w:rsidR="00474F11" w14:paraId="70A3CF5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4C8D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A30E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Ketua</w:t>
            </w:r>
            <w:proofErr w:type="spellEnd"/>
            <w:r>
              <w:t xml:space="preserve"> Tim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FDCB" w14:textId="77777777" w:rsidR="00474F11" w:rsidRDefault="002D5A3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dan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SMKI</w:t>
            </w:r>
          </w:p>
          <w:p w14:paraId="70B526F1" w14:textId="77777777" w:rsidR="00474F11" w:rsidRDefault="002D5A3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SMKI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mobile banking</w:t>
            </w:r>
          </w:p>
        </w:tc>
      </w:tr>
      <w:tr w:rsidR="00474F11" w14:paraId="18C9FF4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ADCC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5FEC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Tim Audit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C165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audit TIK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mobile banking</w:t>
            </w:r>
          </w:p>
        </w:tc>
      </w:tr>
      <w:tr w:rsidR="00474F11" w14:paraId="21DBBE6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3558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3AEC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Tim </w:t>
            </w:r>
            <w:proofErr w:type="spellStart"/>
            <w:r>
              <w:t>Infrastruktur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544A" w14:textId="77777777" w:rsidR="00474F11" w:rsidRDefault="002D5A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Mengembangakan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mobile banking</w:t>
            </w:r>
          </w:p>
          <w:p w14:paraId="52B26BBB" w14:textId="77777777" w:rsidR="00474F11" w:rsidRDefault="002D5A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</w:p>
        </w:tc>
      </w:tr>
      <w:tr w:rsidR="00474F11" w14:paraId="1C79ABC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2441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2E2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Tim SI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1475" w14:textId="77777777" w:rsidR="00474F11" w:rsidRDefault="002D5A3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banking</w:t>
            </w:r>
          </w:p>
          <w:p w14:paraId="59188380" w14:textId="77777777" w:rsidR="00474F11" w:rsidRDefault="002D5A3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maintenance </w:t>
            </w:r>
            <w:proofErr w:type="spellStart"/>
            <w:r>
              <w:t>aplikasi</w:t>
            </w:r>
            <w:proofErr w:type="spellEnd"/>
          </w:p>
        </w:tc>
      </w:tr>
      <w:tr w:rsidR="00474F11" w14:paraId="596723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C8D0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8D09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Tim Data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51F5" w14:textId="77777777" w:rsidR="00474F11" w:rsidRDefault="002D5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pelanggan</w:t>
            </w:r>
            <w:proofErr w:type="spellEnd"/>
          </w:p>
        </w:tc>
      </w:tr>
    </w:tbl>
    <w:p w14:paraId="64DC3750" w14:textId="77777777" w:rsidR="00474F11" w:rsidRDefault="00474F11">
      <w:pPr>
        <w:ind w:left="720"/>
      </w:pPr>
    </w:p>
    <w:p w14:paraId="6F42DDD0" w14:textId="77777777" w:rsidR="00474F11" w:rsidRDefault="00474F11">
      <w:pPr>
        <w:ind w:left="720"/>
      </w:pPr>
    </w:p>
    <w:sectPr w:rsidR="00474F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17"/>
    <w:multiLevelType w:val="multilevel"/>
    <w:tmpl w:val="F8D6B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86190"/>
    <w:multiLevelType w:val="multilevel"/>
    <w:tmpl w:val="370E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4C090F"/>
    <w:multiLevelType w:val="multilevel"/>
    <w:tmpl w:val="8728711E"/>
    <w:lvl w:ilvl="0">
      <w:start w:val="1"/>
      <w:numFmt w:val="decimal"/>
      <w:pStyle w:val="Gamba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9666C6"/>
    <w:multiLevelType w:val="multilevel"/>
    <w:tmpl w:val="FE18A6E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6B03D6"/>
    <w:multiLevelType w:val="multilevel"/>
    <w:tmpl w:val="D0AAA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836BBC"/>
    <w:multiLevelType w:val="multilevel"/>
    <w:tmpl w:val="90C44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41744"/>
    <w:multiLevelType w:val="multilevel"/>
    <w:tmpl w:val="93B8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3769">
    <w:abstractNumId w:val="6"/>
  </w:num>
  <w:num w:numId="2" w16cid:durableId="759444639">
    <w:abstractNumId w:val="2"/>
  </w:num>
  <w:num w:numId="3" w16cid:durableId="808281998">
    <w:abstractNumId w:val="5"/>
  </w:num>
  <w:num w:numId="4" w16cid:durableId="395471101">
    <w:abstractNumId w:val="1"/>
  </w:num>
  <w:num w:numId="5" w16cid:durableId="2068646144">
    <w:abstractNumId w:val="0"/>
  </w:num>
  <w:num w:numId="6" w16cid:durableId="450975655">
    <w:abstractNumId w:val="4"/>
  </w:num>
  <w:num w:numId="7" w16cid:durableId="1601453154">
    <w:abstractNumId w:val="3"/>
  </w:num>
  <w:num w:numId="8" w16cid:durableId="1019896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34095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11"/>
    <w:rsid w:val="002D5A32"/>
    <w:rsid w:val="004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AB8"/>
  <w15:docId w15:val="{2CE86F5E-EBF2-4EF3-BD08-44A2783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81"/>
    <w:pPr>
      <w:keepNext/>
      <w:keepLines/>
      <w:numPr>
        <w:numId w:val="7"/>
      </w:numPr>
      <w:spacing w:after="0" w:line="360" w:lineRule="auto"/>
      <w:outlineLvl w:val="2"/>
    </w:pPr>
    <w:rPr>
      <w:rFonts w:eastAsia="Times New Roman"/>
      <w:b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81"/>
    <w:pPr>
      <w:keepNext/>
      <w:keepLines/>
      <w:tabs>
        <w:tab w:val="num" w:pos="720"/>
      </w:tabs>
      <w:spacing w:after="0" w:line="360" w:lineRule="auto"/>
      <w:ind w:left="720" w:hanging="720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7A"/>
    <w:pPr>
      <w:keepNext/>
      <w:keepLines/>
      <w:spacing w:after="0" w:line="36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el">
    <w:name w:val="Tabel"/>
    <w:basedOn w:val="BodyText"/>
    <w:link w:val="TabelChar"/>
    <w:autoRedefine/>
    <w:qFormat/>
    <w:rsid w:val="003B7CD4"/>
    <w:pPr>
      <w:widowControl w:val="0"/>
      <w:tabs>
        <w:tab w:val="num" w:pos="720"/>
      </w:tabs>
      <w:autoSpaceDE w:val="0"/>
      <w:autoSpaceDN w:val="0"/>
      <w:spacing w:after="0" w:line="360" w:lineRule="auto"/>
      <w:ind w:left="1620" w:hanging="360"/>
    </w:pPr>
    <w:rPr>
      <w:rFonts w:ascii="Arial MT" w:eastAsia="Arial MT" w:hAnsi="Arial MT" w:cs="Arial MT"/>
      <w:sz w:val="21"/>
      <w:lang w:val="id"/>
    </w:rPr>
  </w:style>
  <w:style w:type="character" w:customStyle="1" w:styleId="TabelChar">
    <w:name w:val="Tabel Char"/>
    <w:basedOn w:val="BodyTextChar"/>
    <w:link w:val="Tabel"/>
    <w:rsid w:val="003B7CD4"/>
    <w:rPr>
      <w:rFonts w:ascii="Arial MT" w:eastAsia="Arial MT" w:hAnsi="Arial MT" w:cs="Arial MT"/>
      <w:sz w:val="21"/>
      <w:lang w:val="id"/>
    </w:rPr>
  </w:style>
  <w:style w:type="paragraph" w:customStyle="1" w:styleId="Gambar">
    <w:name w:val="Gambar"/>
    <w:basedOn w:val="Normal"/>
    <w:link w:val="GambarChar"/>
    <w:autoRedefine/>
    <w:qFormat/>
    <w:rsid w:val="00CC567A"/>
    <w:pPr>
      <w:numPr>
        <w:numId w:val="2"/>
      </w:numPr>
      <w:tabs>
        <w:tab w:val="left" w:pos="1418"/>
      </w:tabs>
      <w:spacing w:after="0" w:line="276" w:lineRule="auto"/>
      <w:jc w:val="center"/>
    </w:pPr>
    <w:rPr>
      <w:b/>
      <w:i/>
    </w:rPr>
  </w:style>
  <w:style w:type="character" w:customStyle="1" w:styleId="GambarChar">
    <w:name w:val="Gambar Char"/>
    <w:basedOn w:val="DefaultParagraphFont"/>
    <w:link w:val="Gambar"/>
    <w:rsid w:val="00CC567A"/>
    <w:rPr>
      <w:rFonts w:ascii="Calibri" w:eastAsia="Calibri" w:hAnsi="Calibri" w:cs="Calibri"/>
      <w:b/>
      <w:i/>
    </w:rPr>
  </w:style>
  <w:style w:type="character" w:customStyle="1" w:styleId="Heading3Char">
    <w:name w:val="Heading 3 Char"/>
    <w:link w:val="Heading3"/>
    <w:uiPriority w:val="9"/>
    <w:rsid w:val="00196281"/>
    <w:rPr>
      <w:rFonts w:eastAsia="Times New Roman"/>
      <w:b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8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628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B7CD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B7C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CD4"/>
  </w:style>
  <w:style w:type="table" w:styleId="TableGrid">
    <w:name w:val="Table Grid"/>
    <w:basedOn w:val="TableNormal"/>
    <w:uiPriority w:val="39"/>
    <w:rsid w:val="00F1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11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159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EAiZavK4nf+FuXLrqE5aG9Adw==">AMUW2mXCwuPy4OcVQu3K9FAgV8RoIptMxuee0Z1u0E0AeC1j9Z4Yn5umlHFoBJOjUvP5lkpZyPBNRBjPRX1IqicRICnUgitRsbT4WSWMzG6e4w4co3mJdD8=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 saw</dc:creator>
  <cp:lastModifiedBy>saw saw</cp:lastModifiedBy>
  <cp:revision>2</cp:revision>
  <dcterms:created xsi:type="dcterms:W3CDTF">2022-04-12T12:09:00Z</dcterms:created>
  <dcterms:modified xsi:type="dcterms:W3CDTF">2022-04-12T12:09:00Z</dcterms:modified>
</cp:coreProperties>
</file>