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1D0EE1" w14:textId="2CF7F8E0" w:rsidR="00294CD8" w:rsidRPr="00294CD8" w:rsidRDefault="00294CD8" w:rsidP="00294CD8">
      <w:pPr>
        <w:pStyle w:val="Title"/>
        <w:ind w:left="720" w:firstLine="720"/>
        <w:rPr>
          <w:rFonts w:ascii="Bookman Old Style" w:hAnsi="Bookman Old Style"/>
          <w:sz w:val="40"/>
          <w:szCs w:val="40"/>
          <w:u w:val="single"/>
        </w:rPr>
      </w:pPr>
      <w:r w:rsidRPr="00294CD8">
        <w:rPr>
          <w:rFonts w:ascii="Bookman Old Style" w:hAnsi="Bookman Old Style"/>
          <w:sz w:val="40"/>
          <w:szCs w:val="40"/>
          <w:u w:val="single"/>
        </w:rPr>
        <w:t>Chapter wise Random English Words</w:t>
      </w:r>
    </w:p>
    <w:p w14:paraId="401372BB" w14:textId="77777777" w:rsidR="00294CD8" w:rsidRPr="00294CD8" w:rsidRDefault="00294CD8" w:rsidP="00294CD8"/>
    <w:p w14:paraId="54CF1146" w14:textId="66BCC50A"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Vocabulary-Part-I – 2020</w:t>
      </w:r>
    </w:p>
    <w:p w14:paraId="26D69FC5" w14:textId="77777777"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Pregnability, Impreganable, Revocation, Legitimate, Intrigue, Clairvoyance, Fanatic, Slander, Sanguinary, Catatonic, Stir, Turpitude, Embellish, Adroit, Frivolous, Incriminate, Ensconce, Solidarity, Lunatic, Prejudicial, Statutory, Obligate, Genesis, Establishment, Provenance, Discombobulated, Devour, Vicissitude, Labyrinth, Proponent, Embrace, Secluded, Thrust, Deviant, Demography, Probative value, Punitive, Remorse, Conducive, Petulant, Conundrum, Indiscriminate, Aghast, Adroitly, Discern, Nonchalant, Exhortation, Heirloom, Embroil, Pretext, Plunder, Inimical, Deliberation, facie, Accomplice, Strike down, Pecuniary, Avalanche, Indulge, Composite, Indulgence, Prevaricate, Evocative, Corroborate, Cogent, Tenacity, Assail, Entwine, Peasant, pregnable, Assiduous, Incarcerate, Abject, Indefatigable, Mollycoddle, Accost, Maladroit, Quintessential, Quagmire, Condone, Ecstasy</w:t>
      </w:r>
    </w:p>
    <w:p w14:paraId="12BC0D47" w14:textId="77777777" w:rsidR="00294CD8" w:rsidRPr="00294CD8" w:rsidRDefault="00294CD8" w:rsidP="00294CD8">
      <w:pPr>
        <w:jc w:val="both"/>
        <w:rPr>
          <w:rFonts w:ascii="Bookman Old Style" w:hAnsi="Bookman Old Style"/>
          <w:sz w:val="28"/>
          <w:szCs w:val="28"/>
        </w:rPr>
      </w:pPr>
    </w:p>
    <w:p w14:paraId="2AF9B35D" w14:textId="17B3A1C6"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Vocabulary-Part-II – 2020</w:t>
      </w:r>
    </w:p>
    <w:p w14:paraId="4862CE73" w14:textId="77777777"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Unimpeachable, Innocuous, Egalitarian, Irreproachable, Abrasive, Preponderance, noun, Thrust, Thrive, Contend, Fulcrum, Adumbrate, Malleable, Enunciation, or pressed, Plaintiff, Poignant, Snob, Discrepancies, Innuendo, In thrall, Disseminate, Ludicrous, Flagrant, Pejorative, Ostensibly, Apparent, Unravel, Perceptible, Apparently, Equitable, Arraign, Addle, Debilitate, Vicious, Gallivant, Innocuous, Formidable, Salvage, Cognitive, Surmise, Discretion, Impunity, Culpability, Conspicuous, Cogent, Pulverize, Concretize, Coerce, Propensity, Multifarious, Proliferate, Unfurl, Infirmities, Malady, Adroitly, Bicker, Ambivalence, Evince, Spate, Prelude, Trump up, Inoculate, Entrap, Undermine, Fleeting, Denigrate, Inequitable, Eminently, Confide, Resilience, Certitude, Ambit, Divulge, impeachable, Polarisation, Elusive, Indiscretion, Egregious, Deluge, Inducement, Exposit</w:t>
      </w:r>
    </w:p>
    <w:p w14:paraId="1196FF8D" w14:textId="77777777" w:rsidR="00294CD8" w:rsidRPr="00294CD8" w:rsidRDefault="00294CD8" w:rsidP="00294CD8">
      <w:pPr>
        <w:jc w:val="both"/>
        <w:rPr>
          <w:rFonts w:ascii="Bookman Old Style" w:hAnsi="Bookman Old Style"/>
          <w:sz w:val="28"/>
          <w:szCs w:val="28"/>
        </w:rPr>
      </w:pPr>
    </w:p>
    <w:p w14:paraId="075338D9" w14:textId="1C02D925"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Vocabulary-Part-III – 2020</w:t>
      </w:r>
    </w:p>
    <w:p w14:paraId="1EB89BA0" w14:textId="77777777"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 xml:space="preserve">Apposite, Rendition, Stunned, Intrinsic, Inception, Contours, Ubiquitous, Ideologue, Dissuade, Spectrum, Scumbag, Veracity, Bespangle, Deterrence, Thrive, Promulgate, Cast Aspersions, Integrity, Unequivocal, Prostration, Indictment, Upheaval, Behest, Patronage, Racketeer, Eviscerate, Paradigm, Coherence, Imperative, Aesthetician, Subjudice, Mendacious, Prerogative, Entail, </w:t>
      </w:r>
      <w:r w:rsidRPr="00294CD8">
        <w:rPr>
          <w:rFonts w:ascii="Bookman Old Style" w:hAnsi="Bookman Old Style"/>
          <w:sz w:val="28"/>
          <w:szCs w:val="28"/>
        </w:rPr>
        <w:lastRenderedPageBreak/>
        <w:t>Preposterous, Plutocrat, Circumambulation, Condescend, Reconvene, Bolster, Corrode, Stipulate, Dalliance, Vexation, Precinct, Preclude, Outrage, Passive, Fervent, Imbecile, Condone, Profound, Repulsive, Insinuation, Harness, Regurgitate, Insidious, Sovereignty, Insolent, Adjudication, Culinary, Advisement, Vibrant, Impoverish, Excoriate, Resurrection, Curtail, Precarious, Vicious, Impertinent</w:t>
      </w:r>
    </w:p>
    <w:p w14:paraId="2B3704D8" w14:textId="77777777" w:rsidR="00294CD8" w:rsidRPr="00294CD8" w:rsidRDefault="00294CD8" w:rsidP="00294CD8">
      <w:pPr>
        <w:jc w:val="both"/>
        <w:rPr>
          <w:rFonts w:ascii="Bookman Old Style" w:hAnsi="Bookman Old Style"/>
          <w:sz w:val="28"/>
          <w:szCs w:val="28"/>
        </w:rPr>
      </w:pPr>
    </w:p>
    <w:p w14:paraId="78C1A363" w14:textId="77777777"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Vocabulary-Part-IV – 2020</w:t>
      </w:r>
    </w:p>
    <w:p w14:paraId="7950F0FC" w14:textId="77777777"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Sway, Mundane, Prudential, Discrete, Substantial, Grotesque, Ravine, Trenchant, Mutter, Concussion, Respite, Vouch, Wince, Salvation, Prudence, Desolation, Endorse, Libelous, Ascribe, Desolation, Plausible, Behold, Nostalgia, Prosaic, Untenable, Solemn, Extenuating, Congenital, Ineluctable, Disposition, Interpose, Mortification, Morbid, Moulder, Atrophy, Incongruous, Plunge, Perpetuity, Regime, Ordain, Imperative, Relegate, Peevish, Endure, Laconic, Lumber, Revelation, Concede, Concur, Improprieties, Impose, Trifle with, Legacy, Modality, Dissipate, Chivalry, Tumult, Meddle, Tenuous, Intersperse, Atone, Prostrates, Muster, Accede, Moron, Dissipate, Entourage, Foment, Predicament, Extricate</w:t>
      </w:r>
    </w:p>
    <w:p w14:paraId="3139E8E3" w14:textId="77777777" w:rsidR="00294CD8" w:rsidRPr="00294CD8" w:rsidRDefault="00294CD8" w:rsidP="00294CD8">
      <w:pPr>
        <w:jc w:val="both"/>
        <w:rPr>
          <w:rFonts w:ascii="Bookman Old Style" w:hAnsi="Bookman Old Style"/>
          <w:sz w:val="28"/>
          <w:szCs w:val="28"/>
        </w:rPr>
      </w:pPr>
    </w:p>
    <w:p w14:paraId="15A81154" w14:textId="77777777"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Vocabulary-Part-V – 2021</w:t>
      </w:r>
    </w:p>
    <w:p w14:paraId="785064BA" w14:textId="77777777"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Visage, Edifice, Excruciating, Gullibility, Retribution, Circumspection, Meaning, Resolute, Usher, Indefeasible, Pedestal, Accentuate, Incursion, Propound, Deplete, Subterfuge, Gracious, Scourge, Torment, Wanton, Capitulate, Primordial, Melancholy, Futility, Concomitant, Bask, Commiserate, Convalescence, Hedge, Convalescent, Complacency, Immense, Limpid, Appease, Plenitude, Depravity, Potential, Budge, Pry, Circumambient, Efflux, Complicity, Modus operandi, Craven, Captivity, Rapacious, Infallible, Bestow, Poise, Delineation, Indignation, Pave, Conspectus, Oblivious, Inconsequential, , Mitigate, Cogitate, Yell, Ferment, Reproach, Rescind, Adversary, Imperceptibility, Precision, Beguiling, Elicit, Squander, Contrivance, Scintilla, Flabbergast, Unattainable, Debase, Aversion, Megalomaniac</w:t>
      </w:r>
    </w:p>
    <w:p w14:paraId="3F35326D" w14:textId="77777777" w:rsidR="00294CD8" w:rsidRPr="00294CD8" w:rsidRDefault="00294CD8" w:rsidP="00294CD8">
      <w:pPr>
        <w:jc w:val="both"/>
        <w:rPr>
          <w:rFonts w:ascii="Bookman Old Style" w:hAnsi="Bookman Old Style"/>
          <w:sz w:val="28"/>
          <w:szCs w:val="28"/>
        </w:rPr>
      </w:pPr>
    </w:p>
    <w:p w14:paraId="76DC4700" w14:textId="77777777"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Vocabulary-Part-VI – 2021</w:t>
      </w:r>
    </w:p>
    <w:p w14:paraId="49C4B4B5" w14:textId="77777777"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 xml:space="preserve">Admixture, Ingeminate, Intemperate, Chicanery, Predispose, Subversion, Canon, Concur, Fervid, Nascent, Eventuate, Strenuously, Palpable, Skirmish, Perceptible, Ingeniously, Stifle, Premise, Implore, Interlocutory, Canvass, Discordant, to keep someone within limits or stop them from making progress, Consonance, </w:t>
      </w:r>
      <w:r w:rsidRPr="00294CD8">
        <w:rPr>
          <w:rFonts w:ascii="Bookman Old Style" w:hAnsi="Bookman Old Style"/>
          <w:sz w:val="28"/>
          <w:szCs w:val="28"/>
        </w:rPr>
        <w:lastRenderedPageBreak/>
        <w:t>Happenstance, Disparage, Indignation, Inevitably, Substratum, Implead, Harmony, Improbable, Metamorphose, Envisage, Cavil, Rebuttal, Mar, Sine qua non, Cull, Accord, Perversity, Irrefragably, Confer, Opine, Circumscribe, Espouse, Elicit, Enshrine, Utterance, Canvass, Onerous, Frown upon, Consanguinity, Propound, Stultify, Embodiment, Another Meaning, Inconceivable, Asseverate, Hedge, Corollary, you do it without being asked to do it, Interdict, Germane, Fetter, Inchoate, Delimit, Laxity, Compliance, Conceptuality, Divergent, Tenor, Disparaging, or continuing, Delve, Bonafide, Connote, Piecemeal, Ultra vires, Impecunious</w:t>
      </w:r>
    </w:p>
    <w:p w14:paraId="1A5568FC" w14:textId="77777777" w:rsidR="00294CD8" w:rsidRPr="00294CD8" w:rsidRDefault="00294CD8" w:rsidP="00294CD8">
      <w:pPr>
        <w:jc w:val="both"/>
        <w:rPr>
          <w:rFonts w:ascii="Bookman Old Style" w:hAnsi="Bookman Old Style"/>
          <w:sz w:val="28"/>
          <w:szCs w:val="28"/>
        </w:rPr>
      </w:pPr>
    </w:p>
    <w:p w14:paraId="59A94E3B" w14:textId="77777777" w:rsidR="00294CD8" w:rsidRPr="00294CD8" w:rsidRDefault="00294CD8" w:rsidP="00294CD8">
      <w:pPr>
        <w:jc w:val="both"/>
        <w:rPr>
          <w:rFonts w:ascii="Bookman Old Style" w:hAnsi="Bookman Old Style"/>
          <w:b/>
          <w:bCs/>
          <w:sz w:val="28"/>
          <w:szCs w:val="28"/>
          <w:u w:val="single"/>
        </w:rPr>
      </w:pPr>
      <w:r w:rsidRPr="00294CD8">
        <w:rPr>
          <w:rFonts w:ascii="Bookman Old Style" w:hAnsi="Bookman Old Style"/>
          <w:b/>
          <w:bCs/>
          <w:sz w:val="28"/>
          <w:szCs w:val="28"/>
          <w:u w:val="single"/>
        </w:rPr>
        <w:t>Words and Vocabulary-Part-VII – 2021</w:t>
      </w:r>
    </w:p>
    <w:p w14:paraId="448E6E64" w14:textId="216C138A" w:rsidR="00294CD8" w:rsidRPr="00294CD8" w:rsidRDefault="00294CD8" w:rsidP="00294CD8">
      <w:pPr>
        <w:jc w:val="both"/>
        <w:rPr>
          <w:rFonts w:ascii="Bookman Old Style" w:hAnsi="Bookman Old Style"/>
          <w:sz w:val="28"/>
          <w:szCs w:val="28"/>
        </w:rPr>
      </w:pPr>
      <w:r w:rsidRPr="00294CD8">
        <w:rPr>
          <w:rFonts w:ascii="Bookman Old Style" w:hAnsi="Bookman Old Style"/>
          <w:sz w:val="28"/>
          <w:szCs w:val="28"/>
        </w:rPr>
        <w:t>Pernicious, Splendour, Invidious, Radical, Conflate, Abrogate, Pledge, Solicitation, Impeachment, Leniency, Incumbent, Senile, Damnation, Arbitration, Hegemony, Inculcate, Vivid, Destitute, Chronicle, Sinister, Euphoria, Perpetrate, Imbibe, Eulogy, Impertinent, Dissension, Acrimonious, Tapestry, Replete, Vagrancy, Treasure trove, Allude, Paranoid, Virulence, Ingenuity, Sublimate, Befitting, Acrimony, Pertinent, Rebuff, Swagger, Expound, Speculation, Gleeful, Delude, Scapegoat, Enjoin, Convoy, Boorish, Incubate, Efficacious, Subjugation, Pander, Impeccable, Debauchery, Candour, Collusion, Reminiscent, Profanity, Coherent, Espionage, Allude, Prejudice, Alacrity, Contumacious, Privileged, Surge, Dialectic, Ethnic cleansing, Rife, Connivance, Freak out, Incinerate</w:t>
      </w:r>
    </w:p>
    <w:p w14:paraId="272DBFE1" w14:textId="77777777" w:rsidR="00294CD8" w:rsidRPr="00294CD8" w:rsidRDefault="00294CD8" w:rsidP="00294CD8">
      <w:pPr>
        <w:jc w:val="both"/>
        <w:rPr>
          <w:rFonts w:ascii="Bookman Old Style" w:hAnsi="Bookman Old Style"/>
          <w:sz w:val="28"/>
          <w:szCs w:val="28"/>
        </w:rPr>
      </w:pPr>
    </w:p>
    <w:p w14:paraId="2126F481" w14:textId="77777777" w:rsidR="00294CD8" w:rsidRPr="00294CD8" w:rsidRDefault="00294CD8" w:rsidP="00294CD8">
      <w:pPr>
        <w:jc w:val="both"/>
        <w:rPr>
          <w:rFonts w:ascii="Bookman Old Style" w:hAnsi="Bookman Old Style"/>
          <w:sz w:val="28"/>
          <w:szCs w:val="28"/>
        </w:rPr>
      </w:pPr>
    </w:p>
    <w:p w14:paraId="6E7EC390" w14:textId="77777777" w:rsidR="00294CD8" w:rsidRPr="00294CD8" w:rsidRDefault="00294CD8" w:rsidP="00294CD8">
      <w:pPr>
        <w:jc w:val="both"/>
        <w:rPr>
          <w:rFonts w:ascii="Bookman Old Style" w:hAnsi="Bookman Old Style"/>
          <w:sz w:val="28"/>
          <w:szCs w:val="28"/>
        </w:rPr>
      </w:pPr>
    </w:p>
    <w:p w14:paraId="10216F31" w14:textId="77777777" w:rsidR="00294CD8" w:rsidRPr="00294CD8" w:rsidRDefault="00294CD8" w:rsidP="00294CD8">
      <w:pPr>
        <w:jc w:val="both"/>
        <w:rPr>
          <w:rFonts w:ascii="Bookman Old Style" w:hAnsi="Bookman Old Style"/>
          <w:sz w:val="28"/>
          <w:szCs w:val="28"/>
        </w:rPr>
      </w:pPr>
    </w:p>
    <w:p w14:paraId="6DB35249" w14:textId="77777777" w:rsidR="00294CD8" w:rsidRPr="00294CD8" w:rsidRDefault="00294CD8" w:rsidP="00294CD8">
      <w:pPr>
        <w:jc w:val="both"/>
        <w:rPr>
          <w:rFonts w:ascii="Bookman Old Style" w:hAnsi="Bookman Old Style"/>
          <w:sz w:val="28"/>
          <w:szCs w:val="28"/>
        </w:rPr>
      </w:pPr>
    </w:p>
    <w:p w14:paraId="1368B029" w14:textId="77777777" w:rsidR="00294CD8" w:rsidRPr="00294CD8" w:rsidRDefault="00294CD8" w:rsidP="00294CD8">
      <w:pPr>
        <w:jc w:val="both"/>
        <w:rPr>
          <w:rFonts w:ascii="Bookman Old Style" w:hAnsi="Bookman Old Style"/>
          <w:sz w:val="28"/>
          <w:szCs w:val="28"/>
        </w:rPr>
      </w:pPr>
    </w:p>
    <w:p w14:paraId="323ACF44" w14:textId="77777777" w:rsidR="00294CD8" w:rsidRPr="00294CD8" w:rsidRDefault="00294CD8" w:rsidP="00294CD8">
      <w:pPr>
        <w:jc w:val="both"/>
        <w:rPr>
          <w:rFonts w:ascii="Bookman Old Style" w:hAnsi="Bookman Old Style"/>
          <w:sz w:val="28"/>
          <w:szCs w:val="28"/>
        </w:rPr>
      </w:pPr>
    </w:p>
    <w:p w14:paraId="152E2A4A" w14:textId="77777777" w:rsidR="00294CD8" w:rsidRPr="00294CD8" w:rsidRDefault="00294CD8" w:rsidP="00294CD8">
      <w:pPr>
        <w:jc w:val="both"/>
        <w:rPr>
          <w:rFonts w:ascii="Bookman Old Style" w:hAnsi="Bookman Old Style"/>
          <w:sz w:val="28"/>
          <w:szCs w:val="28"/>
        </w:rPr>
      </w:pPr>
    </w:p>
    <w:p w14:paraId="27191068" w14:textId="77777777" w:rsidR="00294CD8" w:rsidRPr="00294CD8" w:rsidRDefault="00294CD8" w:rsidP="00294CD8">
      <w:pPr>
        <w:jc w:val="both"/>
        <w:rPr>
          <w:rFonts w:ascii="Bookman Old Style" w:hAnsi="Bookman Old Style"/>
          <w:sz w:val="28"/>
          <w:szCs w:val="28"/>
        </w:rPr>
      </w:pPr>
    </w:p>
    <w:p w14:paraId="0797301D" w14:textId="77777777" w:rsidR="00294CD8" w:rsidRPr="00294CD8" w:rsidRDefault="00294CD8" w:rsidP="00294CD8">
      <w:pPr>
        <w:jc w:val="both"/>
        <w:rPr>
          <w:rFonts w:ascii="Bookman Old Style" w:hAnsi="Bookman Old Style"/>
          <w:sz w:val="28"/>
          <w:szCs w:val="28"/>
        </w:rPr>
      </w:pPr>
    </w:p>
    <w:p w14:paraId="0EA8FA9C" w14:textId="77777777" w:rsidR="00D427F4" w:rsidRPr="00294CD8" w:rsidRDefault="00D427F4" w:rsidP="00294CD8">
      <w:pPr>
        <w:jc w:val="both"/>
        <w:rPr>
          <w:rFonts w:ascii="Bookman Old Style" w:hAnsi="Bookman Old Style"/>
          <w:sz w:val="28"/>
          <w:szCs w:val="28"/>
        </w:rPr>
      </w:pPr>
    </w:p>
    <w:sectPr w:rsidR="00D427F4" w:rsidRPr="00294CD8" w:rsidSect="00294CD8">
      <w:headerReference w:type="even" r:id="rId6"/>
      <w:headerReference w:type="default" r:id="rId7"/>
      <w:footerReference w:type="even" r:id="rId8"/>
      <w:footerReference w:type="default" r:id="rId9"/>
      <w:headerReference w:type="first" r:id="rId10"/>
      <w:footerReference w:type="first" r:id="rId11"/>
      <w:pgSz w:w="12240" w:h="15840"/>
      <w:pgMar w:top="360" w:right="540" w:bottom="54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10832" w14:textId="77777777" w:rsidR="00183E71" w:rsidRDefault="00183E71" w:rsidP="00294CD8">
      <w:pPr>
        <w:spacing w:after="0" w:line="240" w:lineRule="auto"/>
      </w:pPr>
      <w:r>
        <w:separator/>
      </w:r>
    </w:p>
  </w:endnote>
  <w:endnote w:type="continuationSeparator" w:id="0">
    <w:p w14:paraId="688981A9" w14:textId="77777777" w:rsidR="00183E71" w:rsidRDefault="00183E71" w:rsidP="00294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E18CD8" w14:textId="77777777" w:rsidR="00294CD8" w:rsidRDefault="00294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71276378"/>
      <w:docPartObj>
        <w:docPartGallery w:val="Page Numbers (Bottom of Page)"/>
        <w:docPartUnique/>
      </w:docPartObj>
    </w:sdtPr>
    <w:sdtContent>
      <w:sdt>
        <w:sdtPr>
          <w:id w:val="-1769616900"/>
          <w:docPartObj>
            <w:docPartGallery w:val="Page Numbers (Top of Page)"/>
            <w:docPartUnique/>
          </w:docPartObj>
        </w:sdtPr>
        <w:sdtContent>
          <w:p w14:paraId="4014131B" w14:textId="3E3C6E91" w:rsidR="00294CD8" w:rsidRDefault="00294CD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A977BA7" w14:textId="77777777" w:rsidR="00294CD8" w:rsidRDefault="00294C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44DFAA" w14:textId="77777777" w:rsidR="00294CD8" w:rsidRDefault="00294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530214" w14:textId="77777777" w:rsidR="00183E71" w:rsidRDefault="00183E71" w:rsidP="00294CD8">
      <w:pPr>
        <w:spacing w:after="0" w:line="240" w:lineRule="auto"/>
      </w:pPr>
      <w:r>
        <w:separator/>
      </w:r>
    </w:p>
  </w:footnote>
  <w:footnote w:type="continuationSeparator" w:id="0">
    <w:p w14:paraId="5AF7213F" w14:textId="77777777" w:rsidR="00183E71" w:rsidRDefault="00183E71" w:rsidP="00294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3165E" w14:textId="77777777" w:rsidR="00294CD8" w:rsidRDefault="00294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77408F" w14:textId="1FF16E71" w:rsidR="00294CD8" w:rsidRDefault="00294CD8">
    <w:pPr>
      <w:pStyle w:val="Header"/>
    </w:pPr>
    <w:r>
      <w:rPr>
        <w:noProof/>
      </w:rPr>
      <mc:AlternateContent>
        <mc:Choice Requires="wps">
          <w:drawing>
            <wp:anchor distT="0" distB="0" distL="114300" distR="114300" simplePos="0" relativeHeight="251659264" behindDoc="0" locked="0" layoutInCell="0" allowOverlap="1" wp14:anchorId="0C26B12E" wp14:editId="1AB0E05D">
              <wp:simplePos x="0" y="0"/>
              <wp:positionH relativeFrom="page">
                <wp:posOffset>0</wp:posOffset>
              </wp:positionH>
              <wp:positionV relativeFrom="page">
                <wp:posOffset>190500</wp:posOffset>
              </wp:positionV>
              <wp:extent cx="7772400" cy="266700"/>
              <wp:effectExtent l="0" t="0" r="0" b="0"/>
              <wp:wrapNone/>
              <wp:docPr id="1" name="MSIPCM25ef46da9a2d63a9358127dd" descr="{&quot;HashCode&quot;:-175786682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49EE51" w14:textId="6393F8B6" w:rsidR="00294CD8" w:rsidRPr="00294CD8" w:rsidRDefault="00294CD8" w:rsidP="00294CD8">
                          <w:pPr>
                            <w:spacing w:after="0"/>
                            <w:rPr>
                              <w:rFonts w:ascii="Calibri" w:hAnsi="Calibri" w:cs="Calibri"/>
                              <w:color w:val="737373"/>
                              <w:sz w:val="20"/>
                            </w:rPr>
                          </w:pPr>
                          <w:r w:rsidRPr="00294CD8">
                            <w:rPr>
                              <w:rFonts w:ascii="Calibri" w:hAnsi="Calibri" w:cs="Calibri"/>
                              <w:color w:val="737373"/>
                              <w:sz w:val="20"/>
                            </w:rPr>
                            <w:t>Dell Customer Communication - 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C26B12E" id="_x0000_t202" coordsize="21600,21600" o:spt="202" path="m,l,21600r21600,l21600,xe">
              <v:stroke joinstyle="miter"/>
              <v:path gradientshapeok="t" o:connecttype="rect"/>
            </v:shapetype>
            <v:shape id="MSIPCM25ef46da9a2d63a9358127dd" o:spid="_x0000_s1026" type="#_x0000_t202" alt="{&quot;HashCode&quot;:-1757866826,&quot;Height&quot;:792.0,&quot;Width&quot;:612.0,&quot;Placement&quot;:&quot;Header&quot;,&quot;Index&quot;:&quot;Primary&quot;,&quot;Section&quot;:1,&quot;Top&quot;:0.0,&quot;Left&quot;:0.0}" style="position:absolute;margin-left:0;margin-top:15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" o:allowincell="f" filled="f" stroked="f" strokeweight=".5pt">
              <v:fill o:detectmouseclick="t"/>
              <v:textbox inset="20pt,0,,0">
                <w:txbxContent>
                  <w:p w14:paraId="1449EE51" w14:textId="6393F8B6" w:rsidR="00294CD8" w:rsidRPr="00294CD8" w:rsidRDefault="00294CD8" w:rsidP="00294CD8">
                    <w:pPr>
                      <w:spacing w:after="0"/>
                      <w:rPr>
                        <w:rFonts w:ascii="Calibri" w:hAnsi="Calibri" w:cs="Calibri"/>
                        <w:color w:val="737373"/>
                        <w:sz w:val="20"/>
                      </w:rPr>
                    </w:pPr>
                    <w:r w:rsidRPr="00294CD8">
                      <w:rPr>
                        <w:rFonts w:ascii="Calibri" w:hAnsi="Calibri" w:cs="Calibri"/>
                        <w:color w:val="737373"/>
                        <w:sz w:val="20"/>
                      </w:rPr>
                      <w:t>Dell Customer Communication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B13CD" w14:textId="77777777" w:rsidR="00294CD8" w:rsidRDefault="00294C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D8"/>
    <w:rsid w:val="00156818"/>
    <w:rsid w:val="00183E71"/>
    <w:rsid w:val="00294CD8"/>
    <w:rsid w:val="002F6702"/>
    <w:rsid w:val="00780200"/>
    <w:rsid w:val="00D4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028163"/>
  <w15:chartTrackingRefBased/>
  <w15:docId w15:val="{2425BF4E-8064-4DDF-822D-2C715C37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CD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94C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CD8"/>
  </w:style>
  <w:style w:type="paragraph" w:styleId="Footer">
    <w:name w:val="footer"/>
    <w:basedOn w:val="Normal"/>
    <w:link w:val="FooterChar"/>
    <w:uiPriority w:val="99"/>
    <w:unhideWhenUsed/>
    <w:rsid w:val="00294C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dc:creator>
  <cp:keywords/>
  <dc:description/>
  <cp:lastModifiedBy>Debadatta</cp:lastModifiedBy>
  <cp:revision>9</cp:revision>
  <dcterms:created xsi:type="dcterms:W3CDTF">2021-05-03T07:31:00Z</dcterms:created>
  <dcterms:modified xsi:type="dcterms:W3CDTF">2021-05-03T07:37:00Z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7f17c0-b23c-493d-99ab-b037779ecd33_Enabled">
    <vt:lpwstr>True</vt:lpwstr>
  </property>
  <property fmtid="{D5CDD505-2E9C-101B-9397-08002B2CF9AE}" pid="3" name="MSIP_Label_a17f17c0-b23c-493d-99ab-b037779ecd33_SiteId">
    <vt:lpwstr>945c199a-83a2-4e80-9f8c-5a91be5752dd</vt:lpwstr>
  </property>
  <property fmtid="{D5CDD505-2E9C-101B-9397-08002B2CF9AE}" pid="4" name="MSIP_Label_a17f17c0-b23c-493d-99ab-b037779ecd33_Owner">
    <vt:lpwstr>Debadatta.Mishra@emc.com</vt:lpwstr>
  </property>
  <property fmtid="{D5CDD505-2E9C-101B-9397-08002B2CF9AE}" pid="5" name="MSIP_Label_a17f17c0-b23c-493d-99ab-b037779ecd33_SetDate">
    <vt:lpwstr>2021-05-03T07:35:31.7156195Z</vt:lpwstr>
  </property>
  <property fmtid="{D5CDD505-2E9C-101B-9397-08002B2CF9AE}" pid="6" name="MSIP_Label_a17f17c0-b23c-493d-99ab-b037779ecd33_Name">
    <vt:lpwstr>Customer Communication</vt:lpwstr>
  </property>
  <property fmtid="{D5CDD505-2E9C-101B-9397-08002B2CF9AE}" pid="7" name="MSIP_Label_a17f17c0-b23c-493d-99ab-b037779ecd33_Application">
    <vt:lpwstr>Microsoft Azure Information Protection</vt:lpwstr>
  </property>
  <property fmtid="{D5CDD505-2E9C-101B-9397-08002B2CF9AE}" pid="8" name="MSIP_Label_a17f17c0-b23c-493d-99ab-b037779ecd33_ActionId">
    <vt:lpwstr>4eb4fcde-7a79-4df3-8422-50ee38bc55e4</vt:lpwstr>
  </property>
  <property fmtid="{D5CDD505-2E9C-101B-9397-08002B2CF9AE}" pid="9" name="MSIP_Label_a17f17c0-b23c-493d-99ab-b037779ecd33_Extended_MSFT_Method">
    <vt:lpwstr>Manual</vt:lpwstr>
  </property>
  <property fmtid="{D5CDD505-2E9C-101B-9397-08002B2CF9AE}" pid="10" name="aiplabel">
    <vt:lpwstr>Customer Communication</vt:lpwstr>
  </property>
</Properties>
</file>