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0F970B" w14:textId="6CB246A6" w:rsidR="00D9322F" w:rsidRPr="00D9322F" w:rsidRDefault="00D9322F" w:rsidP="00D9322F">
      <w:pPr>
        <w:pStyle w:val="Title"/>
        <w:rPr>
          <w:rFonts w:ascii="Bookman Old Style" w:hAnsi="Bookman Old Style"/>
        </w:rPr>
      </w:pPr>
      <w:r w:rsidRPr="00D9322F">
        <w:rPr>
          <w:rFonts w:ascii="Bookman Old Style" w:hAnsi="Bookman Old Style"/>
        </w:rPr>
        <w:t xml:space="preserve">Chapter wise Sequential </w:t>
      </w:r>
      <w:r w:rsidR="00996351">
        <w:rPr>
          <w:rFonts w:ascii="Bookman Old Style" w:hAnsi="Bookman Old Style"/>
        </w:rPr>
        <w:t xml:space="preserve">English </w:t>
      </w:r>
      <w:r w:rsidRPr="00D9322F">
        <w:rPr>
          <w:rFonts w:ascii="Bookman Old Style" w:hAnsi="Bookman Old Style"/>
        </w:rPr>
        <w:t>Words</w:t>
      </w:r>
    </w:p>
    <w:p w14:paraId="202AD041" w14:textId="4C4C095A" w:rsidR="00D9322F" w:rsidRPr="00D9322F" w:rsidRDefault="00D9322F" w:rsidP="00D9322F">
      <w:pPr>
        <w:rPr>
          <w:rFonts w:ascii="Bookman Old Style" w:hAnsi="Bookman Old Style"/>
          <w:b/>
          <w:bCs/>
          <w:sz w:val="28"/>
          <w:szCs w:val="28"/>
          <w:u w:val="single"/>
        </w:rPr>
      </w:pPr>
      <w:r w:rsidRPr="00D9322F">
        <w:rPr>
          <w:rFonts w:ascii="Bookman Old Style" w:hAnsi="Bookman Old Style"/>
          <w:b/>
          <w:bCs/>
          <w:sz w:val="28"/>
          <w:szCs w:val="28"/>
          <w:u w:val="single"/>
        </w:rPr>
        <w:t>Words and Vocabulary-Part-I – 2020</w:t>
      </w:r>
    </w:p>
    <w:p w14:paraId="592CA759" w14:textId="77777777" w:rsidR="00D9322F" w:rsidRPr="00D9322F" w:rsidRDefault="00D9322F" w:rsidP="00D9322F">
      <w:pPr>
        <w:jc w:val="both"/>
        <w:rPr>
          <w:rFonts w:ascii="Bookman Old Style" w:hAnsi="Bookman Old Style"/>
          <w:sz w:val="28"/>
          <w:szCs w:val="28"/>
        </w:rPr>
      </w:pPr>
      <w:r w:rsidRPr="00D9322F">
        <w:rPr>
          <w:rFonts w:ascii="Bookman Old Style" w:hAnsi="Bookman Old Style"/>
          <w:sz w:val="28"/>
          <w:szCs w:val="28"/>
        </w:rPr>
        <w:t>Incarcerate,  Embroil, Strike down, Aghast, Accost, Clairvoyance, Solidarity, Proponent, Plunder, Indulge, Indulgence, Catatonic, Pretext, Mollycoddle, Condone, Conducive, Obligate, Vicissitude, Demography, Frivolous, Embrace, Incriminate, Peasant, Conundrum, Ecstasy, Sanguinary, Abject, Inimical, Entwine, Indiscriminate, Tenacity, Discombobulated, Heirloom, Exhortation, Intrigue, Legitimate, Devour, Accomplice, Pecuniary, Lunatic, Punitive, Revocation, Turpitude, Provenance, Petulant, Prevaricate, Evocative, Quintessential, Quagmire, Ensconce, Slander, Probative value, Secluded, Stir, Deliberation, Avalanche, Composite, Prejudicial, facie, Assail, Indefatigable, Maladroit, Nonchalant, Adroitly, Adroit, Remorse, Assiduous, Labyrinth, Embellish, Deviant, Statutory, Pregnability, pregnable, Impreganable, Discern, Corroborate, Thrust, Genesis, Cogent, Establishment, Fanatic</w:t>
      </w:r>
    </w:p>
    <w:p w14:paraId="40286BA5" w14:textId="77777777" w:rsidR="00D9322F" w:rsidRPr="00D9322F" w:rsidRDefault="00D9322F" w:rsidP="00D9322F">
      <w:pPr>
        <w:rPr>
          <w:rFonts w:ascii="Bookman Old Style" w:hAnsi="Bookman Old Style"/>
          <w:sz w:val="28"/>
          <w:szCs w:val="28"/>
        </w:rPr>
      </w:pPr>
    </w:p>
    <w:p w14:paraId="69B6783F" w14:textId="77777777" w:rsidR="00D9322F" w:rsidRPr="00D9322F" w:rsidRDefault="00D9322F" w:rsidP="00D9322F">
      <w:pPr>
        <w:rPr>
          <w:rFonts w:ascii="Bookman Old Style" w:hAnsi="Bookman Old Style"/>
          <w:b/>
          <w:bCs/>
          <w:sz w:val="28"/>
          <w:szCs w:val="28"/>
          <w:u w:val="single"/>
        </w:rPr>
      </w:pPr>
      <w:r w:rsidRPr="00D9322F">
        <w:rPr>
          <w:rFonts w:ascii="Bookman Old Style" w:hAnsi="Bookman Old Style"/>
          <w:b/>
          <w:bCs/>
          <w:sz w:val="28"/>
          <w:szCs w:val="28"/>
          <w:u w:val="single"/>
        </w:rPr>
        <w:t>Words and Vocabulary-Part-II – 2020</w:t>
      </w:r>
    </w:p>
    <w:p w14:paraId="061E85ED" w14:textId="77777777" w:rsidR="00D9322F" w:rsidRPr="00D9322F" w:rsidRDefault="00D9322F" w:rsidP="00D9322F">
      <w:pPr>
        <w:jc w:val="both"/>
        <w:rPr>
          <w:rFonts w:ascii="Bookman Old Style" w:hAnsi="Bookman Old Style"/>
          <w:sz w:val="28"/>
          <w:szCs w:val="28"/>
        </w:rPr>
      </w:pPr>
      <w:r w:rsidRPr="00D9322F">
        <w:rPr>
          <w:rFonts w:ascii="Bookman Old Style" w:hAnsi="Bookman Old Style"/>
          <w:sz w:val="28"/>
          <w:szCs w:val="28"/>
        </w:rPr>
        <w:t>Prelude, Elusive, Conspicuous, Inoculate, Plaintiff, Discretion, Debilitate, Entrap, Proliferate, Coerce, Formidable, Fleeting, Egregious, Abrasive, Ludicrous, Innocuous, Inducement, Innocuous, Disseminate, Poignant, Addle, Confide, Trump up, Impunity, Ostensibly, Apparently, Resilience, or pressed, Unravel, Propensity, Evince, Indiscretion, Vicious, Malleable, Pulverize, Flagrant, Malady, Pejorative, Deluge, Thrive, In thrall, Gallivant, Polarisation, Ambivalence, Preponderance, Multifarious, Denigrate, Divulge, Exposit, Bicker, Salvage, Concretize, Eminently, Unfurl, Enunciation, Innuendo, Surmise, noun, Certitude, Cognitive, Unimpeachable, Cogent, Culpability, Ambit, Adumbrate, Adroitly, Contend, Fulcrum, Discrepancies, Arraign, Inequitable, Equitable, Snob, Egalitarian, Spate, Irreproachable, Undermine, Infirmities, Perceptible, Thrust, Apparent, impeachable</w:t>
      </w:r>
    </w:p>
    <w:p w14:paraId="3753E5EB" w14:textId="77777777" w:rsidR="00D9322F" w:rsidRPr="00D9322F" w:rsidRDefault="00D9322F" w:rsidP="00D9322F">
      <w:pPr>
        <w:rPr>
          <w:rFonts w:ascii="Bookman Old Style" w:hAnsi="Bookman Old Style"/>
          <w:sz w:val="28"/>
          <w:szCs w:val="28"/>
        </w:rPr>
      </w:pPr>
    </w:p>
    <w:p w14:paraId="56B9890D" w14:textId="4A13FB17" w:rsidR="00D9322F" w:rsidRPr="00D9322F" w:rsidRDefault="00D9322F" w:rsidP="00D9322F">
      <w:pPr>
        <w:rPr>
          <w:rFonts w:ascii="Bookman Old Style" w:hAnsi="Bookman Old Style"/>
          <w:b/>
          <w:bCs/>
          <w:sz w:val="28"/>
          <w:szCs w:val="28"/>
          <w:u w:val="single"/>
        </w:rPr>
      </w:pPr>
      <w:r w:rsidRPr="00D9322F">
        <w:rPr>
          <w:rFonts w:ascii="Bookman Old Style" w:hAnsi="Bookman Old Style"/>
          <w:b/>
          <w:bCs/>
          <w:sz w:val="28"/>
          <w:szCs w:val="28"/>
          <w:u w:val="single"/>
        </w:rPr>
        <w:t>Words and Vocabulary-Part-III – 2020</w:t>
      </w:r>
    </w:p>
    <w:p w14:paraId="26CB9F33" w14:textId="77777777" w:rsidR="00D9322F" w:rsidRPr="00D9322F" w:rsidRDefault="00D9322F" w:rsidP="00D9322F">
      <w:pPr>
        <w:jc w:val="both"/>
        <w:rPr>
          <w:rFonts w:ascii="Bookman Old Style" w:hAnsi="Bookman Old Style"/>
          <w:sz w:val="28"/>
          <w:szCs w:val="28"/>
        </w:rPr>
      </w:pPr>
      <w:r w:rsidRPr="00D9322F">
        <w:rPr>
          <w:rFonts w:ascii="Bookman Old Style" w:hAnsi="Bookman Old Style"/>
          <w:sz w:val="28"/>
          <w:szCs w:val="28"/>
        </w:rPr>
        <w:t xml:space="preserve">Preclude, Stunned, Bespangle, Culinary, Insidious, Aesthetician, Thrive, Dalliance, Vicious, Repulsive, Reconvene, Mendacious, Behest, Corrode, Deterrence, Profound, Vexation, Imperative, Apposite, Circumambulation, Subjudice, Adjudication, Entail, Curtail, Impertinent, Intrinsic, Unequivocal, Insinuation, Contours, Spectrum, Promulgate, Paradigm, Integrity, Ubiquitous, </w:t>
      </w:r>
      <w:r w:rsidRPr="00D9322F">
        <w:rPr>
          <w:rFonts w:ascii="Bookman Old Style" w:hAnsi="Bookman Old Style"/>
          <w:sz w:val="28"/>
          <w:szCs w:val="28"/>
        </w:rPr>
        <w:lastRenderedPageBreak/>
        <w:t>Inception, Condone, Coherence, Imbecile, Scumbag, Rendition, Plutocrat, Harness, Bolster, Preposterous, Ideologue, Fervent, Impoverish, Passive, Racketeer, Indictment, Upheaval, Veracity, Dissuade, Precinct, Regurgitate, Excoriate, Eviscerate, Resurrection, Vibrant, Condescend, Advisement, Stipulate, Outrage, Patronage, Sovereignty, Prostration, Precarious, Cast Aspersions, Prerogative, Insolent</w:t>
      </w:r>
    </w:p>
    <w:p w14:paraId="33D09864" w14:textId="77777777" w:rsidR="00D9322F" w:rsidRPr="00D9322F" w:rsidRDefault="00D9322F" w:rsidP="00D9322F">
      <w:pPr>
        <w:rPr>
          <w:rFonts w:ascii="Bookman Old Style" w:hAnsi="Bookman Old Style"/>
          <w:sz w:val="28"/>
          <w:szCs w:val="28"/>
        </w:rPr>
      </w:pPr>
    </w:p>
    <w:p w14:paraId="64731249" w14:textId="77777777" w:rsidR="00D9322F" w:rsidRPr="00D9322F" w:rsidRDefault="00D9322F" w:rsidP="00D9322F">
      <w:pPr>
        <w:rPr>
          <w:rFonts w:ascii="Bookman Old Style" w:hAnsi="Bookman Old Style"/>
          <w:b/>
          <w:bCs/>
          <w:sz w:val="28"/>
          <w:szCs w:val="28"/>
          <w:u w:val="single"/>
        </w:rPr>
      </w:pPr>
      <w:r w:rsidRPr="00D9322F">
        <w:rPr>
          <w:rFonts w:ascii="Bookman Old Style" w:hAnsi="Bookman Old Style"/>
          <w:b/>
          <w:bCs/>
          <w:sz w:val="28"/>
          <w:szCs w:val="28"/>
          <w:u w:val="single"/>
        </w:rPr>
        <w:t>Words and Vocabulary-Part-IV – 2020</w:t>
      </w:r>
    </w:p>
    <w:p w14:paraId="3FD62B9F" w14:textId="77777777" w:rsidR="00D9322F" w:rsidRPr="00D9322F" w:rsidRDefault="00D9322F" w:rsidP="00D9322F">
      <w:pPr>
        <w:jc w:val="both"/>
        <w:rPr>
          <w:rFonts w:ascii="Bookman Old Style" w:hAnsi="Bookman Old Style"/>
          <w:sz w:val="28"/>
          <w:szCs w:val="28"/>
        </w:rPr>
      </w:pPr>
      <w:r w:rsidRPr="00D9322F">
        <w:rPr>
          <w:rFonts w:ascii="Bookman Old Style" w:hAnsi="Bookman Old Style"/>
          <w:sz w:val="28"/>
          <w:szCs w:val="28"/>
        </w:rPr>
        <w:t>Desolation, Dissipate, Dissipate, Ravine, Congenital, Desolation, Behold, Wince, Peevish, Disposition, Tumult, Discrete, Grotesque, Extenuating, Substantial, Concussion, Modality, Concede, Moron, Solemn, Ineluctable, Plausible, Muster, Intersperse, Vouch, Morbid, Lumber, Sway, Plunge, or into something, Entourage, Trenchant, Perpetuity, Foment, Laconic, Interpose, Endure, Mutter, Ordain, Meddle, Prudence, Prudential, Legacy, Relegate, Respite, Extricate, Endorse, Trifle with, Prostrates, Improprieties, Tenuous, Prosaic, Mortification, Mundane, Salvation, Concur, Moulder, Nostalgia, Regime, Impose, Revelation, Atone, Chivalry, Accede, Imperative, Untenable, Libelous, Ascribe, Incongruous, Atrophy, Predicament</w:t>
      </w:r>
    </w:p>
    <w:p w14:paraId="16545598" w14:textId="77777777" w:rsidR="00D9322F" w:rsidRPr="00D9322F" w:rsidRDefault="00D9322F" w:rsidP="00D9322F">
      <w:pPr>
        <w:rPr>
          <w:rFonts w:ascii="Bookman Old Style" w:hAnsi="Bookman Old Style"/>
          <w:sz w:val="28"/>
          <w:szCs w:val="28"/>
        </w:rPr>
      </w:pPr>
    </w:p>
    <w:p w14:paraId="3C647219" w14:textId="77777777" w:rsidR="00D9322F" w:rsidRPr="00D9322F" w:rsidRDefault="00D9322F" w:rsidP="00D9322F">
      <w:pPr>
        <w:rPr>
          <w:rFonts w:ascii="Bookman Old Style" w:hAnsi="Bookman Old Style"/>
          <w:b/>
          <w:bCs/>
          <w:sz w:val="28"/>
          <w:szCs w:val="28"/>
          <w:u w:val="single"/>
        </w:rPr>
      </w:pPr>
      <w:r w:rsidRPr="00D9322F">
        <w:rPr>
          <w:rFonts w:ascii="Bookman Old Style" w:hAnsi="Bookman Old Style"/>
          <w:b/>
          <w:bCs/>
          <w:sz w:val="28"/>
          <w:szCs w:val="28"/>
          <w:u w:val="single"/>
        </w:rPr>
        <w:t>Words and Vocabulary-Part-V – 2021</w:t>
      </w:r>
    </w:p>
    <w:p w14:paraId="085EA2F2" w14:textId="77777777" w:rsidR="00D9322F" w:rsidRPr="00D9322F" w:rsidRDefault="00D9322F" w:rsidP="00D9322F">
      <w:pPr>
        <w:jc w:val="both"/>
        <w:rPr>
          <w:rFonts w:ascii="Bookman Old Style" w:hAnsi="Bookman Old Style"/>
          <w:sz w:val="28"/>
          <w:szCs w:val="28"/>
        </w:rPr>
      </w:pPr>
      <w:r w:rsidRPr="00D9322F">
        <w:rPr>
          <w:rFonts w:ascii="Bookman Old Style" w:hAnsi="Bookman Old Style"/>
          <w:sz w:val="28"/>
          <w:szCs w:val="28"/>
        </w:rPr>
        <w:t>Craven, Potential, Flabbergast, Primordial, Squander, Pry, Unattainable, Complicity, Complacency, Gracious, Captivity, Deplete, Meaning, Visage, Megalomaniac, Capitulate, Infallible, Efflux, Scourge, Appease, Indefeasible, Budge, Yell, Incursion, Hedge, Excruciating, Commiserate, Retribution, Rescind, Circumambient, Convalescence, Convalescent, Adversary, Pedestal, Resolute, Concomitant, Beguiling, Ferment, Imperceptibility, Accentuate, , Circumspection, Aversion, Immense, Limpid, Cogitate, Modus operandi, Precision, Rapacious, Bestow, Delineation, Futility, Plenitude, Contrivance, Usher, Conspectus, Melancholy, Subterfuge, Oblivious, Elicit, Mitigate, Reproach, Torment, Poise, Propound, Gullibility, Pave, Edifice, Depravity, Indignation, Debase, Scintilla, Wanton, Bask, Inconsequential</w:t>
      </w:r>
    </w:p>
    <w:p w14:paraId="0C43545A" w14:textId="77777777" w:rsidR="00D9322F" w:rsidRPr="00D9322F" w:rsidRDefault="00D9322F" w:rsidP="00D9322F">
      <w:pPr>
        <w:rPr>
          <w:rFonts w:ascii="Bookman Old Style" w:hAnsi="Bookman Old Style"/>
          <w:sz w:val="28"/>
          <w:szCs w:val="28"/>
        </w:rPr>
      </w:pPr>
    </w:p>
    <w:p w14:paraId="0E07B5D3" w14:textId="77777777" w:rsidR="00D9322F" w:rsidRPr="00D9322F" w:rsidRDefault="00D9322F" w:rsidP="00D9322F">
      <w:pPr>
        <w:rPr>
          <w:rFonts w:ascii="Bookman Old Style" w:hAnsi="Bookman Old Style"/>
          <w:b/>
          <w:bCs/>
          <w:sz w:val="28"/>
          <w:szCs w:val="28"/>
          <w:u w:val="single"/>
        </w:rPr>
      </w:pPr>
      <w:r w:rsidRPr="00D9322F">
        <w:rPr>
          <w:rFonts w:ascii="Bookman Old Style" w:hAnsi="Bookman Old Style"/>
          <w:b/>
          <w:bCs/>
          <w:sz w:val="28"/>
          <w:szCs w:val="28"/>
          <w:u w:val="single"/>
        </w:rPr>
        <w:t>Words and Vocabulary-Part-VI – 2021</w:t>
      </w:r>
    </w:p>
    <w:p w14:paraId="4CC69904" w14:textId="77777777" w:rsidR="00D9322F" w:rsidRPr="00D9322F" w:rsidRDefault="00D9322F" w:rsidP="00D9322F">
      <w:pPr>
        <w:jc w:val="both"/>
        <w:rPr>
          <w:rFonts w:ascii="Bookman Old Style" w:hAnsi="Bookman Old Style"/>
          <w:sz w:val="28"/>
          <w:szCs w:val="28"/>
        </w:rPr>
      </w:pPr>
      <w:r w:rsidRPr="00D9322F">
        <w:rPr>
          <w:rFonts w:ascii="Bookman Old Style" w:hAnsi="Bookman Old Style"/>
          <w:sz w:val="28"/>
          <w:szCs w:val="28"/>
        </w:rPr>
        <w:t xml:space="preserve">Happenstance, Inconceivable, Perversity, Irrefragably, Indignation, Implore, Cull, Concur, Confer, Delve, Elicit, Metamorphose, Conceptuality, Enshrine, </w:t>
      </w:r>
      <w:r w:rsidRPr="00D9322F">
        <w:rPr>
          <w:rFonts w:ascii="Bookman Old Style" w:hAnsi="Bookman Old Style"/>
          <w:sz w:val="28"/>
          <w:szCs w:val="28"/>
        </w:rPr>
        <w:lastRenderedPageBreak/>
        <w:t>Ingeniously, Eventuate, Piecemeal, Mar, Corollary, Germane, Consonance, Sine qua non, Cavil, Chicanery, Skirmish, Perceptible, Impecunious, Embodiment, Utterance, Implead, Propound, Espouse, Asseverate, Discordant, Fervid, Opine, Divergent, Ultra vires, Predispose, Another Meaning, Fetter, to keep someone within limits or stop them from making progress, Accord, you do it without being asked to do it, Palpable, Strenuously, Envisage, Rebuttal, Bonafide, Onerous, Stultify, Substratum, Improbable, Compliance, Premise, Disparage, Disparaging, Tenor, Ingeminate, Consanguinity, Stifle, or continuing, Hedge, Frown upon, Interdict, Subversion, Nascent, Circumscribe, Canon, Intemperate, Inevitably, Connote, Delimit, Harmony, Laxity, Inchoate, Canvass, Canvass, Interlocutory, Admixture</w:t>
      </w:r>
    </w:p>
    <w:p w14:paraId="5D7FD1C1" w14:textId="77777777" w:rsidR="00D9322F" w:rsidRPr="00D9322F" w:rsidRDefault="00D9322F" w:rsidP="00D9322F">
      <w:pPr>
        <w:rPr>
          <w:rFonts w:ascii="Bookman Old Style" w:hAnsi="Bookman Old Style"/>
          <w:sz w:val="28"/>
          <w:szCs w:val="28"/>
        </w:rPr>
      </w:pPr>
    </w:p>
    <w:p w14:paraId="0B9EC3E4" w14:textId="77777777" w:rsidR="00D9322F" w:rsidRPr="00D9322F" w:rsidRDefault="00D9322F" w:rsidP="00D9322F">
      <w:pPr>
        <w:rPr>
          <w:rFonts w:ascii="Bookman Old Style" w:hAnsi="Bookman Old Style"/>
          <w:b/>
          <w:bCs/>
          <w:sz w:val="28"/>
          <w:szCs w:val="28"/>
          <w:u w:val="single"/>
        </w:rPr>
      </w:pPr>
      <w:r w:rsidRPr="00D9322F">
        <w:rPr>
          <w:rFonts w:ascii="Bookman Old Style" w:hAnsi="Bookman Old Style"/>
          <w:b/>
          <w:bCs/>
          <w:sz w:val="28"/>
          <w:szCs w:val="28"/>
          <w:u w:val="single"/>
        </w:rPr>
        <w:t>Words and Vocabulary-Part-VII – 2021</w:t>
      </w:r>
    </w:p>
    <w:p w14:paraId="41C2ADBE" w14:textId="77777777" w:rsidR="00D9322F" w:rsidRPr="00D9322F" w:rsidRDefault="00D9322F" w:rsidP="00D9322F">
      <w:pPr>
        <w:jc w:val="both"/>
        <w:rPr>
          <w:rFonts w:ascii="Bookman Old Style" w:hAnsi="Bookman Old Style"/>
          <w:sz w:val="28"/>
          <w:szCs w:val="28"/>
        </w:rPr>
      </w:pPr>
      <w:r w:rsidRPr="00D9322F">
        <w:rPr>
          <w:rFonts w:ascii="Bookman Old Style" w:hAnsi="Bookman Old Style"/>
          <w:sz w:val="28"/>
          <w:szCs w:val="28"/>
        </w:rPr>
        <w:t>Invidious, Acrimonious, Acrimony, Alacrity, Allude, Dialectic, Dissension, Enjoin, Virulence, Reminiscent, Incubate, Perpetrate, Privileged, Replete, Relating to or aiming for a perfect society in which everyone works well with each other and is happy, Ethnic cleansing, Pledge, Leniency, Debauchery, Efficacious, Solicitation, Contumacious, Convoy, Splendour, Pertinent, Destitute, Impertinent, Vagrancy, Speculation, Abrogate, Rife, , Connivance, Collusion, Ingenuity, Conflate, Befitting, Imbibe, Radical, Inculcate, Vivid, , Surge, Espionage, Euphoria, Chronicle, Pander, Sinister, Allude, Impeachment, Eulogy, Profanity, Freak out, Prejudice, Expound, Coherent, Incinerate, Candour, Boorish, Pernicious, Scapegoat, Rebuff, Sublimate, Senile, Gleeful, Paranoid, Arbitration, Damnation, Hegemony, Incumbent, Swagger, Subjugation, Treasure trove, Delude, Tapestry, Impeccable</w:t>
      </w:r>
    </w:p>
    <w:p w14:paraId="64902830" w14:textId="77777777" w:rsidR="00D9322F" w:rsidRPr="00D9322F" w:rsidRDefault="00D9322F" w:rsidP="00D9322F">
      <w:pPr>
        <w:rPr>
          <w:rFonts w:ascii="Bookman Old Style" w:hAnsi="Bookman Old Style"/>
          <w:sz w:val="28"/>
          <w:szCs w:val="28"/>
        </w:rPr>
      </w:pPr>
    </w:p>
    <w:p w14:paraId="0962B54C" w14:textId="77777777" w:rsidR="00D9322F" w:rsidRPr="00D9322F" w:rsidRDefault="00D9322F" w:rsidP="00D9322F">
      <w:pPr>
        <w:rPr>
          <w:rFonts w:ascii="Bookman Old Style" w:hAnsi="Bookman Old Style"/>
          <w:sz w:val="28"/>
          <w:szCs w:val="28"/>
        </w:rPr>
      </w:pPr>
    </w:p>
    <w:p w14:paraId="2AD1E1C1" w14:textId="77777777" w:rsidR="00D9322F" w:rsidRPr="00D9322F" w:rsidRDefault="00D9322F" w:rsidP="00D9322F">
      <w:pPr>
        <w:rPr>
          <w:rFonts w:ascii="Bookman Old Style" w:hAnsi="Bookman Old Style"/>
          <w:sz w:val="28"/>
          <w:szCs w:val="28"/>
        </w:rPr>
      </w:pPr>
    </w:p>
    <w:p w14:paraId="50CE64FB" w14:textId="77777777" w:rsidR="00D9322F" w:rsidRPr="00D9322F" w:rsidRDefault="00D9322F" w:rsidP="00D9322F">
      <w:pPr>
        <w:rPr>
          <w:rFonts w:ascii="Bookman Old Style" w:hAnsi="Bookman Old Style"/>
          <w:sz w:val="28"/>
          <w:szCs w:val="28"/>
        </w:rPr>
      </w:pPr>
    </w:p>
    <w:p w14:paraId="1904D00C" w14:textId="77777777" w:rsidR="00D9322F" w:rsidRPr="00D9322F" w:rsidRDefault="00D9322F" w:rsidP="00D9322F">
      <w:pPr>
        <w:rPr>
          <w:rFonts w:ascii="Bookman Old Style" w:hAnsi="Bookman Old Style"/>
          <w:sz w:val="28"/>
          <w:szCs w:val="28"/>
        </w:rPr>
      </w:pPr>
    </w:p>
    <w:p w14:paraId="68AE0E2F" w14:textId="77777777" w:rsidR="00D9322F" w:rsidRPr="00D9322F" w:rsidRDefault="00D9322F" w:rsidP="00D9322F">
      <w:pPr>
        <w:rPr>
          <w:rFonts w:ascii="Bookman Old Style" w:hAnsi="Bookman Old Style"/>
          <w:sz w:val="28"/>
          <w:szCs w:val="28"/>
        </w:rPr>
      </w:pPr>
    </w:p>
    <w:p w14:paraId="78631942" w14:textId="77777777" w:rsidR="00D9322F" w:rsidRPr="00D9322F" w:rsidRDefault="00D9322F" w:rsidP="00D9322F">
      <w:pPr>
        <w:rPr>
          <w:rFonts w:ascii="Bookman Old Style" w:hAnsi="Bookman Old Style"/>
          <w:sz w:val="28"/>
          <w:szCs w:val="28"/>
        </w:rPr>
      </w:pPr>
    </w:p>
    <w:p w14:paraId="0CCCE04E" w14:textId="77777777" w:rsidR="00D9322F" w:rsidRPr="00D9322F" w:rsidRDefault="00D9322F" w:rsidP="00D9322F">
      <w:pPr>
        <w:rPr>
          <w:rFonts w:ascii="Bookman Old Style" w:hAnsi="Bookman Old Style"/>
          <w:sz w:val="28"/>
          <w:szCs w:val="28"/>
        </w:rPr>
      </w:pPr>
    </w:p>
    <w:p w14:paraId="2AC5D665" w14:textId="77777777" w:rsidR="00D9322F" w:rsidRPr="00D9322F" w:rsidRDefault="00D9322F" w:rsidP="00D9322F">
      <w:pPr>
        <w:rPr>
          <w:rFonts w:ascii="Bookman Old Style" w:hAnsi="Bookman Old Style"/>
          <w:sz w:val="28"/>
          <w:szCs w:val="28"/>
        </w:rPr>
      </w:pPr>
    </w:p>
    <w:p w14:paraId="02BEB42A" w14:textId="77777777" w:rsidR="00D9322F" w:rsidRPr="00D9322F" w:rsidRDefault="00D9322F" w:rsidP="00D9322F">
      <w:pPr>
        <w:rPr>
          <w:rFonts w:ascii="Bookman Old Style" w:hAnsi="Bookman Old Style"/>
          <w:sz w:val="28"/>
          <w:szCs w:val="28"/>
        </w:rPr>
      </w:pPr>
    </w:p>
    <w:p w14:paraId="69127012" w14:textId="77777777" w:rsidR="00D9322F" w:rsidRPr="00D9322F" w:rsidRDefault="00D9322F" w:rsidP="00D9322F">
      <w:pPr>
        <w:rPr>
          <w:rFonts w:ascii="Bookman Old Style" w:hAnsi="Bookman Old Style"/>
          <w:sz w:val="28"/>
          <w:szCs w:val="28"/>
        </w:rPr>
      </w:pPr>
    </w:p>
    <w:p w14:paraId="036240F4" w14:textId="77777777" w:rsidR="00D9322F" w:rsidRPr="00D9322F" w:rsidRDefault="00D9322F" w:rsidP="00D9322F">
      <w:pPr>
        <w:rPr>
          <w:rFonts w:ascii="Bookman Old Style" w:hAnsi="Bookman Old Style"/>
          <w:sz w:val="28"/>
          <w:szCs w:val="28"/>
        </w:rPr>
      </w:pPr>
    </w:p>
    <w:p w14:paraId="6B629606" w14:textId="77777777" w:rsidR="00D9322F" w:rsidRPr="00D9322F" w:rsidRDefault="00D9322F" w:rsidP="00D9322F">
      <w:pPr>
        <w:rPr>
          <w:rFonts w:ascii="Bookman Old Style" w:hAnsi="Bookman Old Style"/>
          <w:sz w:val="28"/>
          <w:szCs w:val="28"/>
        </w:rPr>
      </w:pPr>
    </w:p>
    <w:sectPr w:rsidR="00D9322F" w:rsidRPr="00D9322F" w:rsidSect="00D9322F">
      <w:headerReference w:type="even" r:id="rId7"/>
      <w:headerReference w:type="default" r:id="rId8"/>
      <w:footerReference w:type="even" r:id="rId9"/>
      <w:footerReference w:type="default" r:id="rId10"/>
      <w:headerReference w:type="first" r:id="rId11"/>
      <w:footerReference w:type="first" r:id="rId12"/>
      <w:pgSz w:w="12240" w:h="15840"/>
      <w:pgMar w:top="450" w:right="810" w:bottom="720" w:left="630" w:header="720" w:footer="1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DB4361" w14:textId="77777777" w:rsidR="000505B0" w:rsidRDefault="000505B0" w:rsidP="00D9322F">
      <w:pPr>
        <w:spacing w:after="0" w:line="240" w:lineRule="auto"/>
      </w:pPr>
      <w:r>
        <w:separator/>
      </w:r>
    </w:p>
  </w:endnote>
  <w:endnote w:type="continuationSeparator" w:id="0">
    <w:p w14:paraId="1A08FD53" w14:textId="77777777" w:rsidR="000505B0" w:rsidRDefault="000505B0" w:rsidP="00D932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08498B" w14:textId="77777777" w:rsidR="00996351" w:rsidRDefault="009963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35679012"/>
      <w:docPartObj>
        <w:docPartGallery w:val="Page Numbers (Bottom of Page)"/>
        <w:docPartUnique/>
      </w:docPartObj>
    </w:sdtPr>
    <w:sdtEndPr/>
    <w:sdtContent>
      <w:sdt>
        <w:sdtPr>
          <w:id w:val="-1769616900"/>
          <w:docPartObj>
            <w:docPartGallery w:val="Page Numbers (Top of Page)"/>
            <w:docPartUnique/>
          </w:docPartObj>
        </w:sdtPr>
        <w:sdtEndPr/>
        <w:sdtContent>
          <w:p w14:paraId="5626C99C" w14:textId="16C9AA3D" w:rsidR="00D9322F" w:rsidRDefault="00D9322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85D0427" w14:textId="77777777" w:rsidR="00D9322F" w:rsidRDefault="00D932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B635F5" w14:textId="77777777" w:rsidR="00996351" w:rsidRDefault="009963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2444F3" w14:textId="77777777" w:rsidR="000505B0" w:rsidRDefault="000505B0" w:rsidP="00D9322F">
      <w:pPr>
        <w:spacing w:after="0" w:line="240" w:lineRule="auto"/>
      </w:pPr>
      <w:r>
        <w:separator/>
      </w:r>
    </w:p>
  </w:footnote>
  <w:footnote w:type="continuationSeparator" w:id="0">
    <w:p w14:paraId="01B0E917" w14:textId="77777777" w:rsidR="000505B0" w:rsidRDefault="000505B0" w:rsidP="00D932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246255" w14:textId="77777777" w:rsidR="00996351" w:rsidRDefault="009963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48F12A" w14:textId="5E3CBB90" w:rsidR="00D9322F" w:rsidRDefault="00D9322F">
    <w:pPr>
      <w:pStyle w:val="Header"/>
    </w:pPr>
    <w:r>
      <w:rPr>
        <w:noProof/>
      </w:rPr>
      <mc:AlternateContent>
        <mc:Choice Requires="wps">
          <w:drawing>
            <wp:anchor distT="0" distB="0" distL="114300" distR="114300" simplePos="0" relativeHeight="251659264" behindDoc="0" locked="0" layoutInCell="0" allowOverlap="1" wp14:anchorId="5AF4707B" wp14:editId="3A0FAC98">
              <wp:simplePos x="0" y="0"/>
              <wp:positionH relativeFrom="page">
                <wp:posOffset>0</wp:posOffset>
              </wp:positionH>
              <wp:positionV relativeFrom="page">
                <wp:posOffset>190500</wp:posOffset>
              </wp:positionV>
              <wp:extent cx="7772400" cy="266700"/>
              <wp:effectExtent l="0" t="0" r="0" b="0"/>
              <wp:wrapNone/>
              <wp:docPr id="1" name="MSIPCM452d4d32b0b9b7c84d96cad8" descr="{&quot;HashCode&quot;:-1757866826,&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1CAF99C" w14:textId="2D0D6B28" w:rsidR="00D9322F" w:rsidRPr="00D9322F" w:rsidRDefault="00D9322F" w:rsidP="00D9322F">
                          <w:pPr>
                            <w:spacing w:after="0"/>
                            <w:rPr>
                              <w:rFonts w:ascii="Calibri" w:hAnsi="Calibri"/>
                              <w:color w:val="737373"/>
                              <w:sz w:val="20"/>
                            </w:rPr>
                          </w:pPr>
                          <w:r w:rsidRPr="00D9322F">
                            <w:rPr>
                              <w:rFonts w:ascii="Calibri" w:hAnsi="Calibri"/>
                              <w:color w:val="737373"/>
                              <w:sz w:val="20"/>
                            </w:rPr>
                            <w:t>Dell Customer Communication - Confidential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5AF4707B" id="_x0000_t202" coordsize="21600,21600" o:spt="202" path="m,l,21600r21600,l21600,xe">
              <v:stroke joinstyle="miter"/>
              <v:path gradientshapeok="t" o:connecttype="rect"/>
            </v:shapetype>
            <v:shape id="MSIPCM452d4d32b0b9b7c84d96cad8" o:spid="_x0000_s1026" type="#_x0000_t202" alt="{&quot;HashCode&quot;:-1757866826,&quot;Height&quot;:792.0,&quot;Width&quot;:612.0,&quot;Placement&quot;:&quot;Header&quot;,&quot;Index&quot;:&quot;Primary&quot;,&quot;Section&quot;:1,&quot;Top&quot;:0.0,&quot;Left&quot;:0.0}" style="position:absolute;margin-left:0;margin-top:15pt;width:612pt;height:21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" o:allowincell="f" filled="f" stroked="f" strokeweight=".5pt">
              <v:textbox inset="20pt,0,,0">
                <w:txbxContent>
                  <w:p w14:paraId="41CAF99C" w14:textId="2D0D6B28" w:rsidR="00D9322F" w:rsidRPr="00D9322F" w:rsidRDefault="00D9322F" w:rsidP="00D9322F">
                    <w:pPr>
                      <w:spacing w:after="0"/>
                      <w:rPr>
                        <w:rFonts w:ascii="Calibri" w:hAnsi="Calibri"/>
                        <w:color w:val="737373"/>
                        <w:sz w:val="20"/>
                      </w:rPr>
                    </w:pPr>
                    <w:r w:rsidRPr="00D9322F">
                      <w:rPr>
                        <w:rFonts w:ascii="Calibri" w:hAnsi="Calibri"/>
                        <w:color w:val="737373"/>
                        <w:sz w:val="20"/>
                      </w:rPr>
                      <w:t>Dell Customer Communication - 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70F45B" w14:textId="77777777" w:rsidR="00996351" w:rsidRDefault="0099635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22F"/>
    <w:rsid w:val="000505B0"/>
    <w:rsid w:val="0088671E"/>
    <w:rsid w:val="00996351"/>
    <w:rsid w:val="00D93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F5DFBC"/>
  <w15:chartTrackingRefBased/>
  <w15:docId w15:val="{96BCBB5D-455F-4152-84BF-2A3974437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9322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22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D932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322F"/>
  </w:style>
  <w:style w:type="paragraph" w:styleId="Footer">
    <w:name w:val="footer"/>
    <w:basedOn w:val="Normal"/>
    <w:link w:val="FooterChar"/>
    <w:uiPriority w:val="99"/>
    <w:unhideWhenUsed/>
    <w:rsid w:val="00D932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32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19B3B2-EED6-4F54-9C06-B015107A4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921</Words>
  <Characters>5253</Characters>
  <Application>Microsoft Office Word</Application>
  <DocSecurity>0</DocSecurity>
  <Lines>43</Lines>
  <Paragraphs>12</Paragraphs>
  <ScaleCrop>false</ScaleCrop>
  <Company/>
  <LinksUpToDate>false</LinksUpToDate>
  <CharactersWithSpaces>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dc:creator>
  <cp:keywords/>
  <dc:description/>
  <cp:lastModifiedBy>Debadatta</cp:lastModifiedBy>
  <cp:revision>2</cp:revision>
  <dcterms:created xsi:type="dcterms:W3CDTF">2021-05-03T07:38:00Z</dcterms:created>
  <dcterms:modified xsi:type="dcterms:W3CDTF">2021-05-03T13:13:00Z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17f17c0-b23c-493d-99ab-b037779ecd33_Enabled">
    <vt:lpwstr>True</vt:lpwstr>
  </property>
  <property fmtid="{D5CDD505-2E9C-101B-9397-08002B2CF9AE}" pid="3" name="MSIP_Label_a17f17c0-b23c-493d-99ab-b037779ecd33_SiteId">
    <vt:lpwstr>945c199a-83a2-4e80-9f8c-5a91be5752dd</vt:lpwstr>
  </property>
  <property fmtid="{D5CDD505-2E9C-101B-9397-08002B2CF9AE}" pid="4" name="MSIP_Label_a17f17c0-b23c-493d-99ab-b037779ecd33_Owner">
    <vt:lpwstr>Debadatta.Mishra@emc.com</vt:lpwstr>
  </property>
  <property fmtid="{D5CDD505-2E9C-101B-9397-08002B2CF9AE}" pid="5" name="MSIP_Label_a17f17c0-b23c-493d-99ab-b037779ecd33_SetDate">
    <vt:lpwstr>2021-05-03T07:45:59.1840733Z</vt:lpwstr>
  </property>
  <property fmtid="{D5CDD505-2E9C-101B-9397-08002B2CF9AE}" pid="6" name="MSIP_Label_a17f17c0-b23c-493d-99ab-b037779ecd33_Name">
    <vt:lpwstr>Customer Communication</vt:lpwstr>
  </property>
  <property fmtid="{D5CDD505-2E9C-101B-9397-08002B2CF9AE}" pid="7" name="MSIP_Label_a17f17c0-b23c-493d-99ab-b037779ecd33_Application">
    <vt:lpwstr>Microsoft Azure Information Protection</vt:lpwstr>
  </property>
  <property fmtid="{D5CDD505-2E9C-101B-9397-08002B2CF9AE}" pid="8" name="MSIP_Label_a17f17c0-b23c-493d-99ab-b037779ecd33_ActionId">
    <vt:lpwstr>08952193-c8c7-4e55-ab5e-c79f07d6b4c7</vt:lpwstr>
  </property>
  <property fmtid="{D5CDD505-2E9C-101B-9397-08002B2CF9AE}" pid="9" name="MSIP_Label_a17f17c0-b23c-493d-99ab-b037779ecd33_Extended_MSFT_Method">
    <vt:lpwstr>Manual</vt:lpwstr>
  </property>
  <property fmtid="{D5CDD505-2E9C-101B-9397-08002B2CF9AE}" pid="10" name="aiplabel">
    <vt:lpwstr>Customer Communication</vt:lpwstr>
  </property>
</Properties>
</file>