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A1A1A"/>
          <w:sz w:val="40"/>
          <w:szCs w:val="40"/>
        </w:rPr>
        <w:t xml:space="preserve">Debasish Kumar</w:t>
      </w:r>
    </w:p>
    <w:p>
      <w:pPr>
        <w:spacing w:after="40"/>
        <w:jc w:val="center"/>
      </w:pPr>
      <w:r>
        <w:rPr>
          <w:rFonts w:ascii="Calibri" w:cs="Calibri" w:eastAsia="Calibri" w:hAnsi="Calibri"/>
          <w:color w:val="595959"/>
          <w:sz w:val="22"/>
          <w:szCs w:val="22"/>
        </w:rPr>
        <w:t xml:space="preserve">Principal Engineer | Technical Program Owner — Platform Delivery &amp; AI-Native Execution</w:t>
      </w:r>
    </w:p>
    <w:p>
      <w:pPr>
        <w:spacing w:after="120"/>
        <w:jc w:val="center"/>
      </w:pPr>
      <w:r>
        <w:rPr>
          <w:rFonts w:ascii="Calibri" w:cs="Calibri" w:eastAsia="Calibri" w:hAnsi="Calibri"/>
          <w:color w:val="595959"/>
          <w:sz w:val="18"/>
          <w:szCs w:val="18"/>
        </w:rPr>
        <w:t xml:space="preserve">Bengaluru, Karnataka, India | 9686625225 | debkum23@gmail.com | </w:t>
      </w:r>
      <w:hyperlink w:history="1" r:id="rIdeqhwxhjufoykuxxp6zpby">
        <w:r>
          <w:rPr>
            <w:rFonts w:ascii="Calibri" w:cs="Calibri" w:eastAsia="Calibri" w:hAnsi="Calibri"/>
            <w:color w:val="1155CC"/>
            <w:sz w:val="18"/>
            <w:szCs w:val="18"/>
            <w:u w:val="single"/>
          </w:rPr>
          <w:t xml:space="preserve">View My Portfolio</w:t>
        </w:r>
      </w:hyperlink>
    </w:p>
    <w:p>
      <w:pPr>
        <w:pBdr>
          <w:bottom w:val="single" w:color="1F5C8B" w:sz="6" w:space="2"/>
        </w:pBdr>
        <w:spacing w:after="80" w:before="200"/>
      </w:pPr>
      <w:r>
        <w:rPr>
          <w:rFonts w:ascii="Calibri" w:cs="Calibri" w:eastAsia="Calibri" w:hAnsi="Calibri"/>
          <w:b/>
          <w:bCs/>
          <w:caps/>
          <w:color w:val="1F5C8B"/>
          <w:sz w:val="26"/>
          <w:szCs w:val="26"/>
        </w:rPr>
        <w:t xml:space="preserve">Summary</w:t>
      </w:r>
    </w:p>
    <w:p>
      <w:pPr>
        <w:spacing w:after="60"/>
      </w:pPr>
      <w:r>
        <w:rPr>
          <w:rFonts w:ascii="Calibri" w:cs="Calibri" w:eastAsia="Calibri" w:hAnsi="Calibri"/>
          <w:color w:val="1A1A1A"/>
          <w:sz w:val="22"/>
          <w:szCs w:val="22"/>
        </w:rPr>
        <w:t xml:space="preserve">Technical program owner with </w:t>
      </w:r>
      <w:r>
        <w:rPr>
          <w:rFonts w:ascii="Calibri" w:cs="Calibri" w:eastAsia="Calibri" w:hAnsi="Calibri"/>
          <w:b/>
          <w:bCs/>
          <w:color w:val="1A1A1A"/>
          <w:sz w:val="22"/>
          <w:szCs w:val="22"/>
        </w:rPr>
        <w:t xml:space="preserve">14+ years</w:t>
      </w:r>
      <w:r>
        <w:rPr>
          <w:rFonts w:ascii="Calibri" w:cs="Calibri" w:eastAsia="Calibri" w:hAnsi="Calibri"/>
          <w:color w:val="1A1A1A"/>
          <w:sz w:val="22"/>
          <w:szCs w:val="22"/>
        </w:rPr>
        <w:t xml:space="preserve"> in platform engineering, including 4 years of hands-on product ownership (backlog, roadmap, PRDs, stakeholder management) inside a large enterprise platform. Owned a Message Center intelligence platform end-to-end — Microsoft API data ingestion, SQL schema design, a custom API layer, Azure AD-governed access, an LLM-driven search that asks clarifying follow-ups, and automated Jira tracking — now used firm-wide, with a </w:t>
      </w:r>
      <w:r>
        <w:rPr>
          <w:rFonts w:ascii="Calibri" w:cs="Calibri" w:eastAsia="Calibri" w:hAnsi="Calibri"/>
          <w:b/>
          <w:bCs/>
          <w:color w:val="1A1A1A"/>
          <w:sz w:val="22"/>
          <w:szCs w:val="22"/>
        </w:rPr>
        <w:t xml:space="preserve">30% reduction in support demand</w:t>
      </w:r>
      <w:r>
        <w:rPr>
          <w:rFonts w:ascii="Calibri" w:cs="Calibri" w:eastAsia="Calibri" w:hAnsi="Calibri"/>
          <w:color w:val="1A1A1A"/>
          <w:sz w:val="22"/>
          <w:szCs w:val="22"/>
        </w:rPr>
        <w:t xml:space="preserve"> and </w:t>
      </w:r>
      <w:r>
        <w:rPr>
          <w:rFonts w:ascii="Calibri" w:cs="Calibri" w:eastAsia="Calibri" w:hAnsi="Calibri"/>
          <w:b/>
          <w:bCs/>
          <w:color w:val="1A1A1A"/>
          <w:sz w:val="22"/>
          <w:szCs w:val="22"/>
        </w:rPr>
        <w:t xml:space="preserve">100% audit compliance</w:t>
      </w:r>
      <w:r>
        <w:rPr>
          <w:rFonts w:ascii="Calibri" w:cs="Calibri" w:eastAsia="Calibri" w:hAnsi="Calibri"/>
          <w:color w:val="1A1A1A"/>
          <w:sz w:val="22"/>
          <w:szCs w:val="22"/>
        </w:rPr>
        <w:t xml:space="preserve">. Fluent in LLM-based systems, RAG, and agentic workflows — applied, not conceptual. Known for bridging engineering and business and earning engineering trust that most PM candidates can't.</w:t>
      </w:r>
    </w:p>
    <w:p>
      <w:pPr>
        <w:pBdr>
          <w:bottom w:val="single" w:color="1F5C8B" w:sz="6" w:space="2"/>
        </w:pBdr>
        <w:spacing w:after="80" w:before="200"/>
      </w:pPr>
      <w:r>
        <w:rPr>
          <w:rFonts w:ascii="Calibri" w:cs="Calibri" w:eastAsia="Calibri" w:hAnsi="Calibri"/>
          <w:b/>
          <w:bCs/>
          <w:caps/>
          <w:color w:val="1F5C8B"/>
          <w:sz w:val="26"/>
          <w:szCs w:val="26"/>
        </w:rPr>
        <w:t xml:space="preserve">Skills</w:t>
      </w:r>
    </w:p>
    <w:p>
      <w:pPr>
        <w:spacing w:after="30" w:before="120"/>
      </w:pPr>
      <w:r>
        <w:rPr>
          <w:rFonts w:ascii="Calibri" w:cs="Calibri" w:eastAsia="Calibri" w:hAnsi="Calibri"/>
          <w:b/>
          <w:bCs/>
          <w:color w:val="1A1A1A"/>
          <w:sz w:val="22"/>
          <w:szCs w:val="22"/>
        </w:rPr>
        <w:t xml:space="preserve">Product Management &amp; Delivery</w:t>
      </w:r>
    </w:p>
    <w:p>
      <w:pPr>
        <w:pStyle w:val="ListParagraph"/>
        <w:numPr>
          <w:ilvl w:val="0"/>
          <w:numId w:val="2"/>
        </w:numPr>
        <w:spacing w:after="30"/>
      </w:pPr>
      <w:r>
        <w:rPr>
          <w:rFonts w:ascii="Calibri" w:cs="Calibri" w:eastAsia="Calibri" w:hAnsi="Calibri"/>
          <w:color w:val="1A1A1A"/>
          <w:sz w:val="22"/>
          <w:szCs w:val="22"/>
        </w:rPr>
        <w:t xml:space="preserve">Product Ownership, Platform Product Management, Requirements Gathering, Roadmap Planning, Release Management, UAT Coordination, Backlog Management, User Stories, PRD Writing, Prioritization (WSJF, MoSCoW), Agile/Scrum Delivery (Jira, Confluence)</w:t>
      </w:r>
    </w:p>
    <w:p>
      <w:pPr>
        <w:spacing w:after="30" w:before="120"/>
      </w:pPr>
      <w:r>
        <w:rPr>
          <w:rFonts w:ascii="Calibri" w:cs="Calibri" w:eastAsia="Calibri" w:hAnsi="Calibri"/>
          <w:b/>
          <w:bCs/>
          <w:color w:val="1A1A1A"/>
          <w:sz w:val="22"/>
          <w:szCs w:val="22"/>
        </w:rPr>
        <w:t xml:space="preserve">AI &amp; Platform Foundations</w:t>
      </w:r>
    </w:p>
    <w:p>
      <w:pPr>
        <w:pStyle w:val="ListParagraph"/>
        <w:numPr>
          <w:ilvl w:val="0"/>
          <w:numId w:val="2"/>
        </w:numPr>
        <w:spacing w:after="30"/>
      </w:pPr>
      <w:r>
        <w:rPr>
          <w:rFonts w:ascii="Calibri" w:cs="Calibri" w:eastAsia="Calibri" w:hAnsi="Calibri"/>
          <w:color w:val="1A1A1A"/>
          <w:sz w:val="22"/>
          <w:szCs w:val="22"/>
        </w:rPr>
        <w:t xml:space="preserve">LLM-based Systems, Prompt-driven Workflows, Agentic Architecture Fundamentals (Orchestration, Tools, RAG, Guardrails), Automation Platforms, Intelligent Workflows, Data Governance</w:t>
      </w:r>
    </w:p>
    <w:p>
      <w:pPr>
        <w:spacing w:after="30" w:before="120"/>
      </w:pPr>
      <w:r>
        <w:rPr>
          <w:rFonts w:ascii="Calibri" w:cs="Calibri" w:eastAsia="Calibri" w:hAnsi="Calibri"/>
          <w:b/>
          <w:bCs/>
          <w:color w:val="1A1A1A"/>
          <w:sz w:val="22"/>
          <w:szCs w:val="22"/>
        </w:rPr>
        <w:t xml:space="preserve">Technical &amp; Platform Expertise</w:t>
      </w:r>
    </w:p>
    <w:p>
      <w:pPr>
        <w:pStyle w:val="ListParagraph"/>
        <w:numPr>
          <w:ilvl w:val="0"/>
          <w:numId w:val="2"/>
        </w:numPr>
        <w:spacing w:after="30"/>
      </w:pPr>
      <w:r>
        <w:rPr>
          <w:rFonts w:ascii="Calibri" w:cs="Calibri" w:eastAsia="Calibri" w:hAnsi="Calibri"/>
          <w:color w:val="1A1A1A"/>
          <w:sz w:val="22"/>
          <w:szCs w:val="22"/>
        </w:rPr>
        <w:t xml:space="preserve">Microsoft 365 Platform, SharePoint Online, Power Apps, Power Automate, Platform Architecture, API-driven Integrations, SQL, Identity &amp; Access Governance (Azure AD), Security &amp; Compliance</w:t>
      </w:r>
    </w:p>
    <w:p>
      <w:pPr>
        <w:spacing w:after="30" w:before="120"/>
      </w:pPr>
      <w:r>
        <w:rPr>
          <w:rFonts w:ascii="Calibri" w:cs="Calibri" w:eastAsia="Calibri" w:hAnsi="Calibri"/>
          <w:b/>
          <w:bCs/>
          <w:color w:val="1A1A1A"/>
          <w:sz w:val="22"/>
          <w:szCs w:val="22"/>
        </w:rPr>
        <w:t xml:space="preserve">Stakeholder &amp; Program Management</w:t>
      </w:r>
    </w:p>
    <w:p>
      <w:pPr>
        <w:pStyle w:val="ListParagraph"/>
        <w:numPr>
          <w:ilvl w:val="0"/>
          <w:numId w:val="2"/>
        </w:numPr>
        <w:spacing w:after="30"/>
      </w:pPr>
      <w:r>
        <w:rPr>
          <w:rFonts w:ascii="Calibri" w:cs="Calibri" w:eastAsia="Calibri" w:hAnsi="Calibri"/>
          <w:color w:val="1A1A1A"/>
          <w:sz w:val="22"/>
          <w:szCs w:val="22"/>
        </w:rPr>
        <w:t xml:space="preserve">Cross-functional Leadership, Executive Communication, Change Management, Program Delivery, Risk &amp; Dependency Management</w:t>
      </w:r>
    </w:p>
    <w:p>
      <w:pPr>
        <w:spacing w:after="30" w:before="120"/>
      </w:pPr>
      <w:r>
        <w:rPr>
          <w:rFonts w:ascii="Calibri" w:cs="Calibri" w:eastAsia="Calibri" w:hAnsi="Calibri"/>
          <w:b/>
          <w:bCs/>
          <w:color w:val="1A1A1A"/>
          <w:sz w:val="22"/>
          <w:szCs w:val="22"/>
        </w:rPr>
        <w:t xml:space="preserve">Metrics &amp; Outcomes</w:t>
      </w:r>
    </w:p>
    <w:p>
      <w:pPr>
        <w:pStyle w:val="ListParagraph"/>
        <w:numPr>
          <w:ilvl w:val="0"/>
          <w:numId w:val="2"/>
        </w:numPr>
        <w:spacing w:after="30"/>
      </w:pPr>
      <w:r>
        <w:rPr>
          <w:rFonts w:ascii="Calibri" w:cs="Calibri" w:eastAsia="Calibri" w:hAnsi="Calibri"/>
          <w:color w:val="1A1A1A"/>
          <w:sz w:val="22"/>
          <w:szCs w:val="22"/>
        </w:rPr>
        <w:t xml:space="preserve">Adoption Metrics, Support Reduction, Cycle Time, Audit Readiness, Compliance KPIs, Platform Reliability</w:t>
      </w:r>
    </w:p>
    <w:p>
      <w:pPr>
        <w:pBdr>
          <w:bottom w:val="single" w:color="1F5C8B" w:sz="6" w:space="2"/>
        </w:pBdr>
        <w:spacing w:after="80" w:before="200"/>
      </w:pPr>
      <w:r>
        <w:rPr>
          <w:rFonts w:ascii="Calibri" w:cs="Calibri" w:eastAsia="Calibri" w:hAnsi="Calibri"/>
          <w:b/>
          <w:bCs/>
          <w:caps/>
          <w:color w:val="1F5C8B"/>
          <w:sz w:val="26"/>
          <w:szCs w:val="26"/>
        </w:rPr>
        <w:t xml:space="preserve">Experience</w:t>
      </w:r>
    </w:p>
    <w:p>
      <w:pPr>
        <w:spacing w:after="60" w:before="160"/>
      </w:pPr>
      <w:r>
        <w:rPr>
          <w:rFonts w:ascii="Calibri" w:cs="Calibri" w:eastAsia="Calibri" w:hAnsi="Calibri"/>
          <w:b/>
          <w:bCs/>
          <w:color w:val="1A1A1A"/>
          <w:sz w:val="23"/>
          <w:szCs w:val="23"/>
        </w:rPr>
        <w:t xml:space="preserve">AI-Ready Platform Experience</w:t>
      </w:r>
    </w:p>
    <w:p>
      <w:pPr>
        <w:pStyle w:val="ListParagraph"/>
        <w:numPr>
          <w:ilvl w:val="0"/>
          <w:numId w:val="2"/>
        </w:numPr>
        <w:spacing w:after="70"/>
      </w:pPr>
      <w:r>
        <w:rPr>
          <w:rFonts w:ascii="Calibri" w:cs="Calibri" w:eastAsia="Calibri" w:hAnsi="Calibri"/>
          <w:b/>
          <w:bCs/>
          <w:color w:val="1A1A1A"/>
          <w:sz w:val="22"/>
          <w:szCs w:val="22"/>
        </w:rPr>
        <w:t xml:space="preserve">Owned and shipped a Message Center intelligence platform</w:t>
      </w:r>
      <w:r>
        <w:rPr>
          <w:rFonts w:ascii="Calibri" w:cs="Calibri" w:eastAsia="Calibri" w:hAnsi="Calibri"/>
          <w:color w:val="1A1A1A"/>
          <w:sz w:val="22"/>
          <w:szCs w:val="22"/>
        </w:rPr>
        <w:t xml:space="preserve"> — from data model to production dashboard — now used by scrum masters, product owners, and leaders across the firm.</w:t>
      </w:r>
    </w:p>
    <w:p>
      <w:pPr>
        <w:pStyle w:val="ListParagraph"/>
        <w:numPr>
          <w:ilvl w:val="0"/>
          <w:numId w:val="3"/>
        </w:numPr>
        <w:spacing w:after="70"/>
      </w:pPr>
      <w:r>
        <w:rPr>
          <w:rFonts w:ascii="Calibri" w:cs="Calibri" w:eastAsia="Calibri" w:hAnsi="Calibri"/>
          <w:color w:val="1A1A1A"/>
          <w:sz w:val="22"/>
          <w:szCs w:val="22"/>
        </w:rPr>
        <w:t xml:space="preserve">Before this, a scheduled script sent one daily email digesting the last 24 hours — no historical view, and no way to separate a critical advisory from routine noise; important messages got lost in the inbox.</w:t>
      </w:r>
    </w:p>
    <w:p>
      <w:pPr>
        <w:pStyle w:val="ListParagraph"/>
        <w:numPr>
          <w:ilvl w:val="0"/>
          <w:numId w:val="3"/>
        </w:numPr>
        <w:spacing w:after="70"/>
      </w:pPr>
      <w:r>
        <w:rPr>
          <w:rFonts w:ascii="Calibri" w:cs="Calibri" w:eastAsia="Calibri" w:hAnsi="Calibri"/>
          <w:color w:val="1A1A1A"/>
          <w:sz w:val="22"/>
          <w:szCs w:val="22"/>
        </w:rPr>
        <w:t xml:space="preserve">Decided a better email wasn't the fix. Built a console application that pulls Message Center data from Microsoft APIs into a SQL database on a schedule, and designed the schema for historical, queryable access instead of raw archiving.</w:t>
      </w:r>
    </w:p>
    <w:p>
      <w:pPr>
        <w:pStyle w:val="ListParagraph"/>
        <w:numPr>
          <w:ilvl w:val="0"/>
          <w:numId w:val="3"/>
        </w:numPr>
        <w:spacing w:after="70"/>
      </w:pPr>
      <w:r>
        <w:rPr>
          <w:rFonts w:ascii="Calibri" w:cs="Calibri" w:eastAsia="Calibri" w:hAnsi="Calibri"/>
          <w:color w:val="1A1A1A"/>
          <w:sz w:val="22"/>
          <w:szCs w:val="22"/>
        </w:rPr>
        <w:t xml:space="preserve">Built the API layer (18 endpoints) and an Angular dashboard so important messages are flagged and visually separated at the top — the gap the daily email never closed.</w:t>
      </w:r>
    </w:p>
    <w:p>
      <w:pPr>
        <w:pStyle w:val="ListParagraph"/>
        <w:numPr>
          <w:ilvl w:val="0"/>
          <w:numId w:val="3"/>
        </w:numPr>
        <w:spacing w:after="70"/>
      </w:pPr>
      <w:r>
        <w:rPr>
          <w:rFonts w:ascii="Calibri" w:cs="Calibri" w:eastAsia="Calibri" w:hAnsi="Calibri"/>
          <w:color w:val="1A1A1A"/>
          <w:sz w:val="22"/>
          <w:szCs w:val="22"/>
        </w:rPr>
        <w:t xml:space="preserve">Added a natural-language search layer once filtering wasn't enough: an LLM interprets the query and asks a clarifying follow-up when intent is ambiguous, then a separate search API — never the LLM — queries the database. Separation of duties by design.</w:t>
      </w:r>
    </w:p>
    <w:p>
      <w:pPr>
        <w:pStyle w:val="ListParagraph"/>
        <w:numPr>
          <w:ilvl w:val="0"/>
          <w:numId w:val="3"/>
        </w:numPr>
        <w:spacing w:after="70"/>
      </w:pPr>
      <w:r>
        <w:rPr>
          <w:rFonts w:ascii="Calibri" w:cs="Calibri" w:eastAsia="Calibri" w:hAnsi="Calibri"/>
          <w:color w:val="1A1A1A"/>
          <w:sz w:val="22"/>
          <w:szCs w:val="22"/>
        </w:rPr>
        <w:t xml:space="preserve">Added one-click Jira creation on flagged messages, auto-populating the ticket from message data and surfacing the Jira number back in the UI — replacing manual copy-paste with a traceable owner for every action item.</w:t>
      </w:r>
    </w:p>
    <w:p>
      <w:pPr>
        <w:pStyle w:val="ListParagraph"/>
        <w:numPr>
          <w:ilvl w:val="0"/>
          <w:numId w:val="3"/>
        </w:numPr>
        <w:spacing w:after="70"/>
      </w:pPr>
      <w:r>
        <w:rPr>
          <w:rFonts w:ascii="Calibri" w:cs="Calibri" w:eastAsia="Calibri" w:hAnsi="Calibri"/>
          <w:color w:val="1A1A1A"/>
          <w:sz w:val="22"/>
          <w:szCs w:val="22"/>
        </w:rPr>
        <w:t xml:space="preserve">Integrated Azure AD login with a UPN-to-permissions mapping controlling dashboard visibility — access governed by identity, not a bolt-on login screen.</w:t>
      </w:r>
    </w:p>
    <w:p>
      <w:pPr>
        <w:pStyle w:val="ListParagraph"/>
        <w:numPr>
          <w:ilvl w:val="0"/>
          <w:numId w:val="3"/>
        </w:numPr>
        <w:spacing w:after="70"/>
      </w:pPr>
      <w:r>
        <w:rPr>
          <w:rFonts w:ascii="Calibri" w:cs="Calibri" w:eastAsia="Calibri" w:hAnsi="Calibri"/>
          <w:color w:val="1A1A1A"/>
          <w:sz w:val="22"/>
          <w:szCs w:val="22"/>
        </w:rPr>
        <w:t xml:space="preserve">Now adopted by scrum masters, product owners, and leaders firm-wide, replacing a daily email where the messages that mattered most were easiest to miss.</w:t>
      </w:r>
    </w:p>
    <w:p>
      <w:pPr>
        <w:spacing w:after="60" w:before="140"/>
      </w:pPr>
      <w:r>
        <w:rPr>
          <w:rFonts w:ascii="Calibri" w:cs="Calibri" w:eastAsia="Calibri" w:hAnsi="Calibri"/>
          <w:b/>
          <w:bCs/>
          <w:i/>
          <w:iCs/>
          <w:color w:val="1A1A1A"/>
          <w:sz w:val="22"/>
          <w:szCs w:val="22"/>
        </w:rPr>
        <w:t xml:space="preserve">Dec 2024 — Present: Principal Engineer</w:t>
      </w:r>
    </w:p>
    <w:p>
      <w:pPr>
        <w:pStyle w:val="ListParagraph"/>
        <w:numPr>
          <w:ilvl w:val="0"/>
          <w:numId w:val="2"/>
        </w:numPr>
        <w:spacing w:after="70"/>
      </w:pPr>
      <w:r>
        <w:rPr>
          <w:rFonts w:ascii="Calibri" w:cs="Calibri" w:eastAsia="Calibri" w:hAnsi="Calibri"/>
          <w:color w:val="1A1A1A"/>
          <w:sz w:val="22"/>
          <w:szCs w:val="22"/>
        </w:rPr>
        <w:t xml:space="preserve">Own product vision, roadmap, and backlog for the enterprise SharePoint Online platform, authoring PRDs and technical specifications and partnering with the CPO and senior stakeholders to align capability with business strategy.</w:t>
      </w:r>
    </w:p>
    <w:p>
      <w:pPr>
        <w:pStyle w:val="ListParagraph"/>
        <w:numPr>
          <w:ilvl w:val="0"/>
          <w:numId w:val="2"/>
        </w:numPr>
        <w:spacing w:after="70"/>
      </w:pPr>
      <w:r>
        <w:rPr>
          <w:rFonts w:ascii="Calibri" w:cs="Calibri" w:eastAsia="Calibri" w:hAnsi="Calibri"/>
          <w:color w:val="1A1A1A"/>
          <w:sz w:val="22"/>
          <w:szCs w:val="22"/>
        </w:rPr>
        <w:t xml:space="preserve">Lead end-to-end delivery of platform enhancements, coordinating cross-functional engineering, compliance, and operations teams to ensure predictable releases.</w:t>
      </w:r>
    </w:p>
    <w:p>
      <w:pPr>
        <w:pStyle w:val="ListParagraph"/>
        <w:numPr>
          <w:ilvl w:val="0"/>
          <w:numId w:val="2"/>
        </w:numPr>
        <w:spacing w:after="70"/>
      </w:pPr>
      <w:r>
        <w:rPr>
          <w:rFonts w:ascii="Calibri" w:cs="Calibri" w:eastAsia="Calibri" w:hAnsi="Calibri"/>
          <w:color w:val="1A1A1A"/>
          <w:sz w:val="22"/>
          <w:szCs w:val="22"/>
        </w:rPr>
        <w:t xml:space="preserve">Established governance and guardrails across document lifecycle, access control, and automation workflows, ensuring regulatory compliance and audit readiness.</w:t>
      </w:r>
    </w:p>
    <w:p>
      <w:pPr>
        <w:pStyle w:val="ListParagraph"/>
        <w:numPr>
          <w:ilvl w:val="0"/>
          <w:numId w:val="2"/>
        </w:numPr>
        <w:spacing w:after="70"/>
      </w:pPr>
      <w:r>
        <w:rPr>
          <w:rFonts w:ascii="Calibri" w:cs="Calibri" w:eastAsia="Calibri" w:hAnsi="Calibri"/>
          <w:color w:val="1A1A1A"/>
          <w:sz w:val="22"/>
          <w:szCs w:val="22"/>
        </w:rPr>
        <w:t xml:space="preserve">Led cross-functional remediation of a critical audit violation, restoring compliance posture and maintaining executive trust.</w:t>
      </w:r>
    </w:p>
    <w:p>
      <w:pPr>
        <w:pStyle w:val="ListParagraph"/>
        <w:numPr>
          <w:ilvl w:val="0"/>
          <w:numId w:val="2"/>
        </w:numPr>
        <w:spacing w:after="70"/>
      </w:pPr>
      <w:r>
        <w:rPr>
          <w:rFonts w:ascii="Calibri" w:cs="Calibri" w:eastAsia="Calibri" w:hAnsi="Calibri"/>
          <w:color w:val="1A1A1A"/>
          <w:sz w:val="22"/>
          <w:szCs w:val="22"/>
        </w:rPr>
        <w:t xml:space="preserve">Scoped and led platform advisory engagements across business units; defined problem statements, recommended automation patterns, and owned delivery — reducing redundant build effort across teams.</w:t>
      </w:r>
    </w:p>
    <w:p>
      <w:pPr>
        <w:spacing w:after="60" w:before="140"/>
      </w:pPr>
      <w:r>
        <w:rPr>
          <w:rFonts w:ascii="Calibri" w:cs="Calibri" w:eastAsia="Calibri" w:hAnsi="Calibri"/>
          <w:b/>
          <w:bCs/>
          <w:i/>
          <w:iCs/>
          <w:color w:val="1A1A1A"/>
          <w:sz w:val="22"/>
          <w:szCs w:val="22"/>
        </w:rPr>
        <w:t xml:space="preserve">Dec 2016 — Dec 2024: SharePoint Platform Lead</w:t>
      </w:r>
    </w:p>
    <w:p>
      <w:pPr>
        <w:pStyle w:val="ListParagraph"/>
        <w:numPr>
          <w:ilvl w:val="0"/>
          <w:numId w:val="2"/>
        </w:numPr>
        <w:spacing w:after="70"/>
      </w:pPr>
      <w:r>
        <w:rPr>
          <w:rFonts w:ascii="Calibri" w:cs="Calibri" w:eastAsia="Calibri" w:hAnsi="Calibri"/>
          <w:color w:val="1A1A1A"/>
          <w:sz w:val="22"/>
          <w:szCs w:val="22"/>
        </w:rPr>
        <w:t xml:space="preserve">Began transitioning from an engineering role into product ownership in 2022 — assisting the Product Owner with backlog refinement and stakeholder calls, then stepping in as backup PO; scope grew into full end-to-end ownership of the roadmap and backlog by 2024.</w:t>
      </w:r>
    </w:p>
    <w:p>
      <w:pPr>
        <w:pStyle w:val="ListParagraph"/>
        <w:numPr>
          <w:ilvl w:val="0"/>
          <w:numId w:val="2"/>
        </w:numPr>
        <w:spacing w:after="70"/>
      </w:pPr>
      <w:r>
        <w:rPr>
          <w:rFonts w:ascii="Calibri" w:cs="Calibri" w:eastAsia="Calibri" w:hAnsi="Calibri"/>
          <w:color w:val="1A1A1A"/>
          <w:sz w:val="22"/>
          <w:szCs w:val="22"/>
        </w:rPr>
        <w:t xml:space="preserve">Identified over-reliance on engineering triage as the top driver of support load; reprioritized the roadmap toward self-service and automation, cutting support tickets by 30% and improving platform adoption.</w:t>
      </w:r>
    </w:p>
    <w:p>
      <w:pPr>
        <w:pStyle w:val="ListParagraph"/>
        <w:numPr>
          <w:ilvl w:val="0"/>
          <w:numId w:val="2"/>
        </w:numPr>
        <w:spacing w:after="70"/>
      </w:pPr>
      <w:r>
        <w:rPr>
          <w:rFonts w:ascii="Calibri" w:cs="Calibri" w:eastAsia="Calibri" w:hAnsi="Calibri"/>
          <w:color w:val="1A1A1A"/>
          <w:sz w:val="22"/>
          <w:szCs w:val="22"/>
        </w:rPr>
        <w:t xml:space="preserve">Designed and enforced data governance and compliance frameworks, partnering with Audit and ISO teams to achieve a 100% audit pass rate.</w:t>
      </w:r>
    </w:p>
    <w:p>
      <w:pPr>
        <w:pStyle w:val="ListParagraph"/>
        <w:numPr>
          <w:ilvl w:val="0"/>
          <w:numId w:val="2"/>
        </w:numPr>
        <w:spacing w:after="70"/>
      </w:pPr>
      <w:r>
        <w:rPr>
          <w:rFonts w:ascii="Calibri" w:cs="Calibri" w:eastAsia="Calibri" w:hAnsi="Calibri"/>
          <w:color w:val="1A1A1A"/>
          <w:sz w:val="22"/>
          <w:szCs w:val="22"/>
        </w:rPr>
        <w:t xml:space="preserve">Acted as primary stakeholder interface and offshore POC, managing requirements, delivery timelines, releases, UAT cycles, and adoption through large-scale platform migrations (MOSS 2007 → SharePoint Online).</w:t>
      </w:r>
    </w:p>
    <w:p>
      <w:pPr>
        <w:pBdr>
          <w:bottom w:val="single" w:color="1F5C8B" w:sz="6" w:space="2"/>
        </w:pBdr>
        <w:spacing w:after="80" w:before="200"/>
      </w:pPr>
      <w:r>
        <w:rPr>
          <w:rFonts w:ascii="Calibri" w:cs="Calibri" w:eastAsia="Calibri" w:hAnsi="Calibri"/>
          <w:b/>
          <w:bCs/>
          <w:caps/>
          <w:color w:val="1F5C8B"/>
          <w:sz w:val="26"/>
          <w:szCs w:val="26"/>
        </w:rPr>
        <w:t xml:space="preserve">Education</w:t>
      </w:r>
    </w:p>
    <w:p>
      <w:pPr>
        <w:spacing w:after="20"/>
      </w:pPr>
      <w:r>
        <w:rPr>
          <w:rFonts w:ascii="Calibri" w:cs="Calibri" w:eastAsia="Calibri" w:hAnsi="Calibri"/>
          <w:color w:val="1A1A1A"/>
          <w:sz w:val="22"/>
          <w:szCs w:val="22"/>
        </w:rPr>
        <w:t xml:space="preserve">M.B.A. (General Management), Pondicherry University</w:t>
      </w:r>
    </w:p>
    <w:p>
      <w:pPr>
        <w:spacing w:after="20"/>
      </w:pPr>
      <w:r>
        <w:rPr>
          <w:rFonts w:ascii="Calibri" w:cs="Calibri" w:eastAsia="Calibri" w:hAnsi="Calibri"/>
          <w:color w:val="1A1A1A"/>
          <w:sz w:val="22"/>
          <w:szCs w:val="22"/>
        </w:rPr>
        <w:t xml:space="preserve">B.Tech in Computer Engineering, Sinhgad College of Engineering, Pune University</w:t>
      </w:r>
    </w:p>
    <w:p>
      <w:pPr>
        <w:pBdr>
          <w:bottom w:val="single" w:color="1F5C8B" w:sz="6" w:space="2"/>
        </w:pBdr>
        <w:spacing w:after="80" w:before="200"/>
      </w:pPr>
      <w:r>
        <w:rPr>
          <w:rFonts w:ascii="Calibri" w:cs="Calibri" w:eastAsia="Calibri" w:hAnsi="Calibri"/>
          <w:b/>
          <w:bCs/>
          <w:caps/>
          <w:color w:val="1F5C8B"/>
          <w:sz w:val="26"/>
          <w:szCs w:val="26"/>
        </w:rPr>
        <w:t xml:space="preserve">Additional Information</w:t>
      </w:r>
    </w:p>
    <w:p>
      <w:pPr>
        <w:spacing w:after="20"/>
      </w:pPr>
      <w:r>
        <w:rPr>
          <w:rFonts w:ascii="Calibri" w:cs="Calibri" w:eastAsia="Calibri" w:hAnsi="Calibri"/>
          <w:color w:val="1A1A1A"/>
          <w:sz w:val="22"/>
          <w:szCs w:val="22"/>
        </w:rPr>
        <w:t xml:space="preserve">Available for relocation or remote roles</w:t>
      </w:r>
    </w:p>
    <w:p>
      <w:pPr>
        <w:spacing w:after="20"/>
      </w:pPr>
      <w:r>
        <w:rPr>
          <w:rFonts w:ascii="Calibri" w:cs="Calibri" w:eastAsia="Calibri" w:hAnsi="Calibri"/>
          <w:color w:val="1A1A1A"/>
          <w:sz w:val="22"/>
          <w:szCs w:val="22"/>
        </w:rPr>
        <w:t xml:space="preserve">Fluent in English and Hindi</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qhwxhjufoykuxxp6zpby" Type="http://schemas.openxmlformats.org/officeDocument/2006/relationships/hyperlink" Target="https://example.com/portfoli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2026-07-18T17:49:09.447Z</dcterms:created>
  <dcterms:modified xsi:type="dcterms:W3CDTF">2026-07-18T17:49:09.447Z</dcterms:modified>
</cp:coreProperties>
</file>

<file path=docProps/custom.xml><?xml version="1.0" encoding="utf-8"?>
<Properties xmlns="http://schemas.openxmlformats.org/officeDocument/2006/custom-properties" xmlns:vt="http://schemas.openxmlformats.org/officeDocument/2006/docPropsVTypes"/>
</file>