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yvzqkboqj2" w:id="0"/>
      <w:bookmarkEnd w:id="0"/>
      <w:r w:rsidDel="00000000" w:rsidR="00000000" w:rsidRPr="00000000">
        <w:rPr>
          <w:rtl w:val="0"/>
        </w:rPr>
        <w:t xml:space="preserve">NH Computer and Information Sciences, General.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7334250</wp:posOffset>
            </wp:positionH>
            <wp:positionV relativeFrom="paragraph">
              <wp:posOffset>19050</wp:posOffset>
            </wp:positionV>
            <wp:extent cx="2109788" cy="4964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9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064c6uzerhv" w:id="1"/>
      <w:bookmarkEnd w:id="1"/>
      <w:r w:rsidDel="00000000" w:rsidR="00000000" w:rsidRPr="00000000">
        <w:rPr>
          <w:rtl w:val="0"/>
        </w:rPr>
        <w:t xml:space="preserve">CIP#: 11.0101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lj4hzd3bbqu" w:id="2"/>
      <w:bookmarkEnd w:id="2"/>
      <w:r w:rsidDel="00000000" w:rsidR="00000000" w:rsidRPr="00000000">
        <w:rPr>
          <w:rtl w:val="0"/>
        </w:rPr>
        <w:t xml:space="preserve">Cybersecurity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Detect, prevent and mitigate threats in order to secure a computing system or network in an ethical manner, and in accordance with international, federal, state, local and cyber laws  and regulations.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097.5"/>
        <w:gridCol w:w="3097.5"/>
        <w:gridCol w:w="3097.5"/>
        <w:gridCol w:w="3097.5"/>
        <w:tblGridChange w:id="0">
          <w:tblGrid>
            <w:gridCol w:w="2010"/>
            <w:gridCol w:w="3097.5"/>
            <w:gridCol w:w="3097.5"/>
            <w:gridCol w:w="3097.5"/>
            <w:gridCol w:w="309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Skill/Knowledge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Applying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(4)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(3)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Developing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(2)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effectively identify and protect Personally Identifiable Information (PII) to ensure privacy and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recognize what constitutes Personally Identifiable Information (PII) in various contexts.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implement measures to securely handle and store PII.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educate others on the importance of safeguarding PII and the potential risks associated with its exposure.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Hygiene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demonstrate good cyber hygiene practices to maintain security and integrity on digital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manage location services settings to protect privacy and enhance security.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critically assess and evaluate agreements and terms of service to make informed decisions.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adhere to ethical principles in my digital interactions and decision-making.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create and maintain strong passwords to secure access to digital accounts.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functionality of email systems, including protocols and client-server interactions.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Encryption / Decryption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utilize encryption and decryption techniques to ensure secure communication and data protection, including HTTPS usage.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understand and implement encryption protocols like HTTPS to secure data transmission over the internet.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recognize the importance of encryption in protecting sensitive information from unauthorized access.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evaluate the security of websites based on their use of HTTPS and other encryption standards.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Dark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describe the concept of the dark web and its implications for cybersecurity and criminal activities.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structure and function of the dark web in contrast to the surface web and deep web.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discuss the potential risks and dangers associated with accessing and interacting with the dark web.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measures to protect against threats originating from the dark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Hacking (Black vs. White)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differentiate between black hat and white hat hacking techniques and understand common cyber threats such as phishing, malware, and viruses.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distinguish between ethical hacking practices (white hat) and malicious hacking activities (black hat).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recognize and mitigate phishing attacks and other social engineering tactics used by cybercriminals.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different types of malware and viruses and employ appropriate measures to prevent infection and mitigate their impact.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Laws &amp; Regulations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navigate relevant laws and regulations, such as copyright laws, to ensure compliance and ethical conduct in digital environments.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understand the principles of copyright law and how they apply to digital content creation and distribution.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distinguish between fair use and copyright infringement in the context of digital media.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comply with copyright regulations when using and sharing digital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2240" w:w="15840" w:orient="landscape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widowControl w:val="0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