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line="240" w:lineRule="auto"/>
        <w:rPr>
          <w:rFonts w:ascii="Lora" w:cs="Lora" w:eastAsia="Lora" w:hAnsi="Lora"/>
          <w:b w:val="1"/>
        </w:rPr>
      </w:pPr>
      <w:bookmarkStart w:colFirst="0" w:colLast="0" w:name="_jnaflbfrtuvs" w:id="0"/>
      <w:bookmarkEnd w:id="0"/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Activity - Research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ora" w:cs="Lora" w:eastAsia="Lora" w:hAnsi="Lora"/>
          <w:b w:val="1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4"/>
          <w:szCs w:val="24"/>
          <w:rtl w:val="0"/>
        </w:rPr>
        <w:t xml:space="preserve">Description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What is the current state of the problem? How have others attempted to solve this problem? What do potential users want or need in a solution?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Understanding the work that others have done to address the problem is an essential step in the engineering design process. Students identify existing products (which can be reverse-engineered or modified as a potential solution) as well as regulatory, standards, and ethical issues that must be considered during the design process.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Time To Complete: 3-5 Hours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Common Core Standards  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ELA.RST.1, 3, 4, 5, 7, 9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NGSS Assessed: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HS-ETS1-1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Lora" w:cs="Lora" w:eastAsia="Lora" w:hAnsi="Lora"/>
          <w:b w:val="1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4"/>
          <w:szCs w:val="24"/>
          <w:rtl w:val="0"/>
        </w:rPr>
        <w:t xml:space="preserve">I Can Statements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I can conduct research for my software design challenge by: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144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Gathering relevant information from multiple print and digital sources, using search terms effectively (6-8.WHST.8)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144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Assessing the credibility and accuracy of each source (6-8.WHST.8)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144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Recording and organizing information systematically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I will know my research is of high quality if it: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240" w:lineRule="auto"/>
        <w:ind w:left="144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Provides me the opportunity to learn more about my topic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line="240" w:lineRule="auto"/>
        <w:ind w:left="144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Challenges me to deepen my thinking about my topic by asking questions for clarity and understanding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240" w:lineRule="auto"/>
        <w:ind w:left="144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Comes from multiple relevant, current, reliable, and varied sources, while favoring primary sources over secondary sources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240" w:lineRule="auto"/>
        <w:ind w:left="144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Has been systematically recorded and organized to support the software design process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Lora" w:cs="Lora" w:eastAsia="Lora" w:hAnsi="Lora"/>
          <w:b w:val="1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b w:val="1"/>
          <w:color w:val="212529"/>
          <w:sz w:val="24"/>
          <w:szCs w:val="24"/>
          <w:rtl w:val="0"/>
        </w:rPr>
        <w:t xml:space="preserve">Suggestions for Assessing Student Readiness to Move Forward: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Confer with students, asking probing questions about their research process to gauge how well their research meets the quality criteria.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Ask students to list their sources and explain (orally or in writing) how they meet the quality criteria for high-quality research.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Ask students to review their notes with you, briefly describing their system for recording and organizing the results of their research.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rPr>
          <w:rFonts w:ascii="Lora" w:cs="Lora" w:eastAsia="Lora" w:hAnsi="Lora"/>
          <w:color w:val="212529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color w:val="212529"/>
          <w:sz w:val="24"/>
          <w:szCs w:val="24"/>
          <w:rtl w:val="0"/>
        </w:rPr>
        <w:t xml:space="preserve">Ask students to self-evaluate their work after completing one of the activities below.</w:t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students complete the first columns of a KWL/KWHLAQ chart (</w:t>
      </w:r>
      <w:hyperlink r:id="rId6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http://www.flickr.com/photos/langwitches/5958295132</w:t>
        </w:r>
      </w:hyperlink>
      <w:r w:rsidDel="00000000" w:rsidR="00000000" w:rsidRPr="00000000">
        <w:rPr>
          <w:rFonts w:ascii="Lora" w:cs="Lora" w:eastAsia="Lora" w:hAnsi="Lora"/>
          <w:color w:val="ff9900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). If you have a set of class resources for research, have students preview the books on their topic to frontload as a scaffold. </w:t>
      </w:r>
    </w:p>
    <w:p w:rsidR="00000000" w:rsidDel="00000000" w:rsidP="00000000" w:rsidRDefault="00000000" w:rsidRPr="00000000" w14:paraId="00000021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Lora" w:cs="Lora" w:eastAsia="Lora" w:hAnsi="Lora"/>
          <w:color w:val="ff99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This protocol of brainstorming and reflecting on questions is appropriate for the upper grades and visual learners: </w:t>
      </w:r>
      <w:hyperlink r:id="rId7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http://www.bcps.org/offices/lis/researchcourse/explore.html#questions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ora" w:cs="Lora" w:eastAsia="Lora" w:hAnsi="Lora"/>
          <w:color w:val="ff9900"/>
          <w:sz w:val="24"/>
          <w:szCs w:val="24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Model for students how to take notes. You can offer students several graphic organizers for note-taking, or teach them one strategy, such as Cornell. There are some middle school level resources that could easily be modified for upper- or lower- grade students. </w:t>
      </w:r>
      <w:hyperlink r:id="rId8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http://infotech.spsd.org/MS/ms_research_step4.html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Lora" w:cs="Lora" w:eastAsia="Lora" w:hAnsi="Lor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ora" w:cs="Lora" w:eastAsia="Lora" w:hAnsi="Lora"/>
          <w:color w:val="ff9900"/>
        </w:rPr>
      </w:pPr>
      <w:r w:rsidDel="00000000" w:rsidR="00000000" w:rsidRPr="00000000">
        <w:rPr>
          <w:rFonts w:ascii="Lora" w:cs="Lora" w:eastAsia="Lora" w:hAnsi="Lora"/>
          <w:sz w:val="24"/>
          <w:szCs w:val="24"/>
          <w:rtl w:val="0"/>
        </w:rPr>
        <w:t xml:space="preserve">Have students conduct an I-search: </w:t>
      </w:r>
      <w:hyperlink r:id="rId9">
        <w:r w:rsidDel="00000000" w:rsidR="00000000" w:rsidRPr="00000000">
          <w:rPr>
            <w:rFonts w:ascii="Lora" w:cs="Lora" w:eastAsia="Lora" w:hAnsi="Lora"/>
            <w:color w:val="ff9900"/>
            <w:sz w:val="24"/>
            <w:szCs w:val="24"/>
            <w:u w:val="single"/>
            <w:rtl w:val="0"/>
          </w:rPr>
          <w:t xml:space="preserve">http://www.readwritethink.org/professional-development/strategy-guides/promoting-student-directed-inquiry-30783.html</w:t>
        </w:r>
      </w:hyperlink>
      <w:hyperlink r:id="rId10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Text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Lora" w:cs="Lora" w:eastAsia="Lora" w:hAnsi="Lora"/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ora" w:cs="Lora" w:eastAsia="Lora" w:hAnsi="Lora"/>
          <w:color w:val="ff9900"/>
        </w:rPr>
      </w:pPr>
      <w:hyperlink r:id="rId11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Command-line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ora" w:cs="Lora" w:eastAsia="Lora" w:hAnsi="Lora"/>
          <w:color w:val="ff9900"/>
        </w:rPr>
      </w:pPr>
      <w:hyperlink r:id="rId12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Setting Up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ora" w:cs="Lora" w:eastAsia="Lora" w:hAnsi="Lora"/>
          <w:color w:val="ff9900"/>
        </w:rPr>
      </w:pPr>
      <w:hyperlink r:id="rId13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Introduction to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ora" w:cs="Lora" w:eastAsia="Lora" w:hAnsi="Lora"/>
          <w:color w:val="ff9900"/>
        </w:rPr>
      </w:pPr>
      <w:hyperlink r:id="rId14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Git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Lora" w:cs="Lora" w:eastAsia="Lora" w:hAnsi="Lora"/>
          <w:color w:val="ff9900"/>
        </w:rPr>
      </w:pPr>
      <w:hyperlink r:id="rId15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Introduction to HTML and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Lora" w:cs="Lora" w:eastAsia="Lora" w:hAnsi="Lora"/>
          <w:color w:val="ff9900"/>
        </w:rPr>
      </w:pPr>
      <w:hyperlink r:id="rId16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Elements and Tags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Lora" w:cs="Lora" w:eastAsia="Lora" w:hAnsi="Lora"/>
          <w:color w:val="ff9900"/>
        </w:rPr>
      </w:pPr>
      <w:hyperlink r:id="rId17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HTML Boilerplate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Lora" w:cs="Lora" w:eastAsia="Lora" w:hAnsi="Lora"/>
          <w:color w:val="ff9900"/>
        </w:rPr>
      </w:pPr>
      <w:hyperlink r:id="rId18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Working with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Lora" w:cs="Lora" w:eastAsia="Lora" w:hAnsi="Lora"/>
          <w:color w:val="ff9900"/>
        </w:rPr>
      </w:pPr>
      <w:hyperlink r:id="rId19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Lists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Lora" w:cs="Lora" w:eastAsia="Lora" w:hAnsi="Lora"/>
          <w:color w:val="ff9900"/>
        </w:rPr>
      </w:pPr>
      <w:hyperlink r:id="rId20">
        <w:r w:rsidDel="00000000" w:rsidR="00000000" w:rsidRPr="00000000">
          <w:rPr>
            <w:rFonts w:ascii="Lora" w:cs="Lora" w:eastAsia="Lora" w:hAnsi="Lora"/>
            <w:color w:val="ff9900"/>
            <w:u w:val="single"/>
            <w:rtl w:val="0"/>
          </w:rPr>
          <w:t xml:space="preserve">Links and Images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c9swMqns9FmfC3O_0-EykclWtXu-ymNKU8wf-nGPuU8/edit?usp=sharing" TargetMode="External"/><Relationship Id="rId11" Type="http://schemas.openxmlformats.org/officeDocument/2006/relationships/hyperlink" Target="https://docs.google.com/document/d/1EbNk3DFlExDS0sZRMQXVTDFA6AbEcnSPlil271ms3Xo/edit?usp=sharing" TargetMode="External"/><Relationship Id="rId10" Type="http://schemas.openxmlformats.org/officeDocument/2006/relationships/hyperlink" Target="https://docs.google.com/document/d/15stEzGlBJHNEIU9S1urUiLZ3GMJSmCW5wL82vPJX1I4/edit?usp=sharing" TargetMode="External"/><Relationship Id="rId13" Type="http://schemas.openxmlformats.org/officeDocument/2006/relationships/hyperlink" Target="https://docs.google.com/document/d/1X50plzs3oL1fO2TWrXkl0k6fLKKXa4_L6iY25I8mSsE/edit?usp=sharing" TargetMode="External"/><Relationship Id="rId12" Type="http://schemas.openxmlformats.org/officeDocument/2006/relationships/hyperlink" Target="https://docs.google.com/document/d/1RhvSHZPMcWzvDwA2UUsqYlq9A8Gf6fUh4K0_Yj78mso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readwritethink.org/professional-development/strategy-guides/promoting-student-directed-inquiry-30783.html" TargetMode="External"/><Relationship Id="rId15" Type="http://schemas.openxmlformats.org/officeDocument/2006/relationships/hyperlink" Target="https://docs.google.com/document/d/1vOST5Du8zNK1MrXunWp9r5kC83G6yHJraI87n-PdD0c/edit?usp=sharing" TargetMode="External"/><Relationship Id="rId14" Type="http://schemas.openxmlformats.org/officeDocument/2006/relationships/hyperlink" Target="https://docs.google.com/document/d/1NtokAip-4VI14kbMXvQr3PvlXuheH7MjVxD08f5Spos/edit?usp=sharing" TargetMode="External"/><Relationship Id="rId17" Type="http://schemas.openxmlformats.org/officeDocument/2006/relationships/hyperlink" Target="https://docs.google.com/document/d/1isX381yJbARHCKWhk29WN3FIl3GbsBzk0Qx8pQfWvfQ/edit?usp=sharing" TargetMode="External"/><Relationship Id="rId16" Type="http://schemas.openxmlformats.org/officeDocument/2006/relationships/hyperlink" Target="https://docs.google.com/document/d/1lKaOAe-4ZFjwIlcL5S5SqjrkzZ_NTsH3VE3We77LrvU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YAq0kh9OMJfcyMBsXjHeO-7b_jXVSC4xdrb6GPeYmw0/edit?usp=sharing" TargetMode="External"/><Relationship Id="rId6" Type="http://schemas.openxmlformats.org/officeDocument/2006/relationships/hyperlink" Target="http://www.flickr.com/photos/langwitches/5958295132" TargetMode="External"/><Relationship Id="rId18" Type="http://schemas.openxmlformats.org/officeDocument/2006/relationships/hyperlink" Target="https://docs.google.com/document/d/1BvjsMGDzWo15ajzUNHIkJeUhc9gXxa8S3OWSwfb5qhM/edit?usp=sharing" TargetMode="External"/><Relationship Id="rId7" Type="http://schemas.openxmlformats.org/officeDocument/2006/relationships/hyperlink" Target="http://www.bcps.org/offices/lis/researchcourse/explore.html#questions" TargetMode="External"/><Relationship Id="rId8" Type="http://schemas.openxmlformats.org/officeDocument/2006/relationships/hyperlink" Target="http://infotech.spsd.org/MS/ms_research_step4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