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40" w:lineRule="auto"/>
        <w:rPr>
          <w:rFonts w:ascii="Lora" w:cs="Lora" w:eastAsia="Lora" w:hAnsi="Lora"/>
          <w:b w:val="1"/>
          <w:color w:val="212529"/>
        </w:rPr>
      </w:pPr>
      <w:bookmarkStart w:colFirst="0" w:colLast="0" w:name="_l7ph8aunkgra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Activity - Explore What is a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Lora" w:cs="Lora" w:eastAsia="Lora" w:hAnsi="Lora"/>
          <w:b w:val="1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4"/>
          <w:szCs w:val="24"/>
          <w:rtl w:val="0"/>
        </w:rPr>
        <w:t xml:space="preserve">Description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What is a personal Portfolio?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Develop a clear enough understanding of what is a personal portfolio and be able to explain your understanding to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Time To Complete: 1-3 Hours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Common Core Standards 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ELA.RST.1, 3, 4, 5, 7, 9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ora" w:cs="Lora" w:eastAsia="Lora" w:hAnsi="Lora"/>
          <w:b w:val="1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4"/>
          <w:szCs w:val="24"/>
          <w:rtl w:val="0"/>
        </w:rPr>
        <w:t xml:space="preserve">I Can Statements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I will know my exploration of what a portfolio is of high quality when: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I can identify the stages and ideas that comprise the software design process, such as ideate and prototype.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Lora" w:cs="Lora" w:eastAsia="Lora" w:hAnsi="Lora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I can identify what content goes into a portfolio.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ora" w:cs="Lora" w:eastAsia="Lora" w:hAnsi="Lora"/>
          <w:b w:val="1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4"/>
          <w:szCs w:val="24"/>
          <w:rtl w:val="0"/>
        </w:rPr>
        <w:t xml:space="preserve">Suggestions for Assessing Student Readiness to Move Forward: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Confer with students to check their understanding of the elements of engineering design.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Ask students to self-evaluate their work after completing one of the activities below.</w:t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color w:val="ff9900"/>
          <w:sz w:val="24"/>
          <w:szCs w:val="24"/>
        </w:rPr>
      </w:pPr>
      <w:hyperlink r:id="rId6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https://www.youtube.com/watch?v=FBCMxtP-lCI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3a3a3a"/>
          <w:sz w:val="24"/>
          <w:szCs w:val="24"/>
          <w:highlight w:val="white"/>
          <w:rtl w:val="0"/>
        </w:rPr>
        <w:t xml:space="preserve">Explore and Investigate portfolios. What are their forms? What purpose do they serve?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ff9900"/>
          <w:sz w:val="24"/>
          <w:szCs w:val="24"/>
        </w:rPr>
      </w:pPr>
      <w:hyperlink r:id="rId7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https://career.fsu.edu/portfolio/sample-portfolios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ff9900"/>
          <w:sz w:val="24"/>
          <w:szCs w:val="24"/>
        </w:rPr>
      </w:pPr>
      <w:hyperlink r:id="rId8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https://www.lsu.edu/academicaffairs/cxc/digital-portfolio-examples.php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ff9900"/>
          <w:sz w:val="24"/>
          <w:szCs w:val="24"/>
        </w:rPr>
      </w:pPr>
      <w:hyperlink r:id="rId9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https://www.moneycrashers.com/professional-work-portfolio-examples/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ff9900"/>
          <w:sz w:val="24"/>
          <w:szCs w:val="24"/>
        </w:rPr>
      </w:pPr>
      <w:hyperlink r:id="rId10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https://www.designer-daily.com/portfolio-desig-10009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Students will choose one of the portfolio options explored in the previous step and begin setting up their portfolio, including a bio and at least two photos of work.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esigner-daily.com/portfolio-desig-10009" TargetMode="External"/><Relationship Id="rId9" Type="http://schemas.openxmlformats.org/officeDocument/2006/relationships/hyperlink" Target="https://www.moneycrashers.com/professional-work-portfolio-exampl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BCMxtP-lCI" TargetMode="External"/><Relationship Id="rId7" Type="http://schemas.openxmlformats.org/officeDocument/2006/relationships/hyperlink" Target="https://career.fsu.edu/portfolio/sample-portfolios" TargetMode="External"/><Relationship Id="rId8" Type="http://schemas.openxmlformats.org/officeDocument/2006/relationships/hyperlink" Target="https://www.lsu.edu/academicaffairs/cxc/digital-portfolio-examples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