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bbfz0l0t1cz" w:id="0"/>
      <w:bookmarkEnd w:id="0"/>
      <w:r w:rsidDel="00000000" w:rsidR="00000000" w:rsidRPr="00000000">
        <w:rPr>
          <w:rtl w:val="0"/>
        </w:rPr>
        <w:t xml:space="preserve">How does a computer work?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Watch this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https://www.youtube.com/watch?v=5Sg7udkbvso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How does a backplane interconnect different cards in a computer system?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are the connectors on the backplane used for?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are the main components of the CPU that connect to the backplane?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What are the main buses in a backplane system?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How do devices connect to the address bus and data bus in a backplane system?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What other components can be connected to the backplane?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How does the CPU ensure that only one device communicates at a time over the backplane?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How does the Atari computer differ from a laptop in terms of component swapping?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What is the purpose of the address bus pins in the CPU?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How did the Atari computer allocate memory addresses for different components?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What analogy does the speaker use to explain computer addresses?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Why is hexadecimal used in computer systems instead of binary numbers?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How can you change the number to make the computer look for a different number?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How are zeros and ones treated in digital logic?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happens when all the numbers in the logic equation are one?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How does the logic determine whether the address is assigned to a specific card?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What happens if the address on the address bus does not match the assigned address for a card?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How can you program a specific address for a card using dip switches?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How does the approach of mixing and matching cards work on the Sun 3160 server?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What types of cards could be added to the original IBM PC system?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How could you replace the CPU card in the IBM PC system?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How do modern PCs automatically configure themselves when a new card is added?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Sg7udkbv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