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The tour</w:t>
      </w:r>
    </w:p>
    <w:p w:rsidR="00000000" w:rsidDel="00000000" w:rsidP="00000000" w:rsidRDefault="00000000" w:rsidRPr="00000000" w14:paraId="00000002">
      <w:pPr>
        <w:pStyle w:val="Heading1"/>
        <w:pageBreakBefore w:val="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03">
      <w:pPr>
        <w:pageBreakBefore w:val="0"/>
        <w:rPr/>
      </w:pPr>
      <w:r w:rsidDel="00000000" w:rsidR="00000000" w:rsidRPr="00000000">
        <w:rPr>
          <w:rtl w:val="0"/>
        </w:rPr>
        <w:t xml:space="preserve">During the tour of Google’s data centre you will need to complete a scavenger hunt. A scavenger hunt is a list of things for you to spot whilst exploring the data centre. You will also need to listen carefully to what the tour guide and the employees say because they will give you the answers to the questions below the scavenger hunt.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To access the video on YouTube visit: </w:t>
      </w:r>
      <w:hyperlink r:id="rId6">
        <w:r w:rsidDel="00000000" w:rsidR="00000000" w:rsidRPr="00000000">
          <w:rPr>
            <w:color w:val="1155cc"/>
            <w:u w:val="single"/>
            <w:rtl w:val="0"/>
          </w:rPr>
          <w:t xml:space="preserve">ncce.io/TheTour</w:t>
        </w:r>
      </w:hyperlink>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sz w:val="20"/>
          <w:szCs w:val="20"/>
        </w:rPr>
      </w:pPr>
      <w:r w:rsidDel="00000000" w:rsidR="00000000" w:rsidRPr="00000000">
        <w:rPr>
          <w:sz w:val="20"/>
          <w:szCs w:val="20"/>
          <w:rtl w:val="0"/>
        </w:rPr>
        <w:t xml:space="preserve">Note that there is a toggle switch in the top left-hand corner of the video screen to allow you to look around the rooms. </w:t>
      </w:r>
    </w:p>
    <w:p w:rsidR="00000000" w:rsidDel="00000000" w:rsidP="00000000" w:rsidRDefault="00000000" w:rsidRPr="00000000" w14:paraId="00000008">
      <w:pPr>
        <w:pStyle w:val="Heading1"/>
        <w:rPr>
          <w:color w:val="ffffff"/>
        </w:rPr>
      </w:pPr>
      <w:bookmarkStart w:colFirst="0" w:colLast="0" w:name="_1fob9te" w:id="2"/>
      <w:bookmarkEnd w:id="2"/>
      <w:r w:rsidDel="00000000" w:rsidR="00000000" w:rsidRPr="00000000">
        <w:rPr>
          <w:color w:val="ffffff"/>
          <w:shd w:fill="5b5ba5" w:val="clear"/>
          <w:rtl w:val="0"/>
        </w:rPr>
        <w:t xml:space="preserve"> Scavenger hunt </w:t>
      </w:r>
      <w:r w:rsidDel="00000000" w:rsidR="00000000" w:rsidRPr="00000000">
        <w:rPr>
          <w:color w:val="ffffff"/>
          <w:rtl w:val="0"/>
        </w:rPr>
        <w:t xml:space="preserve">.</w:t>
      </w:r>
    </w:p>
    <w:p w:rsidR="00000000" w:rsidDel="00000000" w:rsidP="00000000" w:rsidRDefault="00000000" w:rsidRPr="00000000" w14:paraId="00000009">
      <w:pPr>
        <w:pageBreakBefore w:val="0"/>
        <w:rPr/>
      </w:pPr>
      <w:r w:rsidDel="00000000" w:rsidR="00000000" w:rsidRPr="00000000">
        <w:rPr>
          <w:rtl w:val="0"/>
        </w:rPr>
        <w:t xml:space="preserve">Tick off all of the items that you spot in the tour.</w:t>
      </w:r>
    </w:p>
    <w:p w:rsidR="00000000" w:rsidDel="00000000" w:rsidP="00000000" w:rsidRDefault="00000000" w:rsidRPr="00000000" w14:paraId="0000000A">
      <w:pPr>
        <w:pageBreakBefore w:val="0"/>
        <w:rPr/>
      </w:pPr>
      <w:r w:rsidDel="00000000" w:rsidR="00000000" w:rsidRPr="00000000">
        <w:rPr>
          <w:rtl w:val="0"/>
        </w:rPr>
      </w:r>
    </w:p>
    <w:tbl>
      <w:tblPr>
        <w:tblStyle w:val="Table1"/>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7"/>
        <w:gridCol w:w="3008.666666666667"/>
        <w:gridCol w:w="3008.666666666667"/>
        <w:tblGridChange w:id="0">
          <w:tblGrid>
            <w:gridCol w:w="3008.666666666667"/>
            <w:gridCol w:w="3008.666666666667"/>
            <w:gridCol w:w="3008.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Orange fruit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Speed limit 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server cluster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Senior network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Security guard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Fire extinguisher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Climbing 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Hard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Site reliability engineer</w:t>
            </w:r>
          </w:p>
        </w:tc>
      </w:tr>
    </w:tbl>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Style w:val="Heading1"/>
        <w:rPr>
          <w:color w:val="ffffff"/>
        </w:rPr>
      </w:pPr>
      <w:bookmarkStart w:colFirst="0" w:colLast="0" w:name="_3znysh7" w:id="3"/>
      <w:bookmarkEnd w:id="3"/>
      <w:r w:rsidDel="00000000" w:rsidR="00000000" w:rsidRPr="00000000">
        <w:rPr>
          <w:color w:val="ffffff"/>
          <w:shd w:fill="5b5ba5" w:val="clear"/>
          <w:rtl w:val="0"/>
        </w:rPr>
        <w:t xml:space="preserve"> Questions </w:t>
      </w:r>
      <w:r w:rsidDel="00000000" w:rsidR="00000000" w:rsidRPr="00000000">
        <w:rPr>
          <w:color w:val="ffffff"/>
          <w:rtl w:val="0"/>
        </w:rPr>
        <w:t xml:space="preserve">.</w:t>
      </w:r>
    </w:p>
    <w:p w:rsidR="00000000" w:rsidDel="00000000" w:rsidP="00000000" w:rsidRDefault="00000000" w:rsidRPr="00000000" w14:paraId="00000016">
      <w:pPr>
        <w:rPr/>
      </w:pPr>
      <w:r w:rsidDel="00000000" w:rsidR="00000000" w:rsidRPr="00000000">
        <w:rPr>
          <w:rtl w:val="0"/>
        </w:rPr>
        <w:t xml:space="preserve">Q1. What type of wiring does Google use to transmit data?</w:t>
      </w:r>
    </w:p>
    <w:tbl>
      <w:tblPr>
        <w:tblStyle w:val="Table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Fibre optics</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Q2. How many machines does a single building have?</w:t>
      </w:r>
    </w:p>
    <w:tbl>
      <w:tblPr>
        <w:tblStyle w:val="Table3"/>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75,000</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Q3. How does Google protect the data stored on broken hard drives?</w:t>
      </w:r>
    </w:p>
    <w:tbl>
      <w:tblPr>
        <w:tblStyle w:val="Table4"/>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They are shredded.</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Q4. How does Google keep all of the servers cool?</w:t>
      </w:r>
    </w:p>
    <w:tbl>
      <w:tblPr>
        <w:tblStyle w:val="Table5"/>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A water cooling system is used. </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Q5. What happens if the data center has a power cut?</w:t>
      </w:r>
    </w:p>
    <w:tbl>
      <w:tblPr>
        <w:tblStyle w:val="Table6"/>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There are backup generators to restore power in the event of a power cut. </w:t>
            </w:r>
          </w:p>
        </w:tc>
      </w:tr>
    </w:tbl>
    <w:p w:rsidR="00000000" w:rsidDel="00000000" w:rsidP="00000000" w:rsidRDefault="00000000" w:rsidRPr="00000000" w14:paraId="00000024">
      <w:pPr>
        <w:pageBreakBefore w:val="0"/>
        <w:rPr>
          <w:color w:val="666666"/>
          <w:sz w:val="18"/>
          <w:szCs w:val="18"/>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30-06-2021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ind w:left="-720" w:right="-690" w:firstLine="0"/>
      <w:rPr>
        <w:rFonts w:ascii="Arial" w:cs="Arial" w:eastAsia="Arial" w:hAnsi="Arial"/>
        <w:color w:val="666666"/>
      </w:rPr>
    </w:pPr>
    <w:r w:rsidDel="00000000" w:rsidR="00000000" w:rsidRPr="00000000">
      <w:rPr>
        <w:rtl w:val="0"/>
      </w:rPr>
    </w:r>
  </w:p>
  <w:tbl>
    <w:tblPr>
      <w:tblStyle w:val="Table7"/>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6">
          <w:pPr>
            <w:ind w:right="-234"/>
            <w:rPr>
              <w:color w:val="666666"/>
              <w:sz w:val="18"/>
              <w:szCs w:val="18"/>
            </w:rPr>
          </w:pPr>
          <w:r w:rsidDel="00000000" w:rsidR="00000000" w:rsidRPr="00000000">
            <w:rPr>
              <w:color w:val="666666"/>
              <w:sz w:val="18"/>
              <w:szCs w:val="18"/>
              <w:rtl w:val="0"/>
            </w:rPr>
            <w:t xml:space="preserve">KS4 – Computer networks</w:t>
          </w:r>
        </w:p>
        <w:p w:rsidR="00000000" w:rsidDel="00000000" w:rsidP="00000000" w:rsidRDefault="00000000" w:rsidRPr="00000000" w14:paraId="00000027">
          <w:pPr>
            <w:ind w:right="-234"/>
            <w:rPr>
              <w:color w:val="666666"/>
              <w:sz w:val="18"/>
              <w:szCs w:val="18"/>
            </w:rPr>
          </w:pPr>
          <w:r w:rsidDel="00000000" w:rsidR="00000000" w:rsidRPr="00000000">
            <w:rPr>
              <w:color w:val="666666"/>
              <w:sz w:val="18"/>
              <w:szCs w:val="18"/>
              <w:rtl w:val="0"/>
            </w:rPr>
            <w:t xml:space="preserve">Lesson 8 – Hosting services</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activity sheet</w:t>
          </w:r>
        </w:p>
        <w:p w:rsidR="00000000" w:rsidDel="00000000" w:rsidP="00000000" w:rsidRDefault="00000000" w:rsidRPr="00000000" w14:paraId="00000029">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2A">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ind w:left="0" w:right="-234" w:firstLine="0"/>
      <w:jc w:val="lef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s://ncce.io/TheTour"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