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2lzgqk5bm0r2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File Manipulation Tools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1. What command will allow a user to quickly read the entire contents of a document without opening  the file? 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2. What is the benefit of using the head command?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3. What will the –n argument do when used in conjunction with the head command? 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4. Which command will display the last 10 lines of a document? 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5. Which command controls the permissions that each user has such as read, write, and execute? 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6. Where is the default location of the logger commands stored?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7. What is the Windows analog to grep? 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