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43piqby6bkcr" w:id="0"/>
      <w:bookmarkEnd w:id="0"/>
      <w:r w:rsidDel="00000000" w:rsidR="00000000" w:rsidRPr="00000000">
        <w:rPr>
          <w:rtl w:val="0"/>
        </w:rPr>
        <w:t xml:space="preserve">Lesson 5: Insertion Sort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lesson, students will learn about insertion sort, a sorting algorithm used to order a list of items. They will understand the concept of inserting a new item into a sorted group and recognize the importance of recognizing and highlighting sublists at different stages of an insertion sort. Through guided and independent practice, students will gain hands-on experience in performing insertion sorts on different data sets, reinforcing their understanding of the algorithm. The lesson will conclude with a recap of the main points and an encouragement for students to continue practicing insertion sorts to solidify their knowledge.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4px2v7yd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Insert an item into an ordered list of items.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Describe how insertion sort is used for ordering a list of items.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Perform an insertion sort to order a list containing sample data.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ewwnpqhxe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Materials: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Slides or whiteboard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Markers or chalk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Sample data sets (words instead of numbers)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Worksheets or paper for independent practice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gd0yj2p7xr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Bell-Ringer Activity: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Ask the students to think about how they would sort a group of objects in real life.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Allow a few students to share their ideas.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Guide the discussion towards the concept of inserting a new item into a sorted group of objects.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41zu2htgzz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Introduction: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Explain to the students that they will be learning about a sorting algorithm called insertion sort.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Mention that some exam boards may not require knowledge of insertion sort, so it's important to check the specifications.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Explain that insertion sort is similar to how we sort objects in real life by inserting a new item into a sorted group.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Emphasize the importance of recognizing and highlighting sublists at different stages of an insertion sort.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8hp2rxp9sks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Direct Instruction: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Present slides or use the whiteboard to explain a broken down version of one pass of an insertion sort.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Show the students the coded solution that will be introduced in the next lesson.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Demonstrate multiple passes of an insertion sort to help students understand the algorithm.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Provide examples and explanations to help students recognize and highlight sublists at different stages of an insertion sort.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ikpy2taxfny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Guided Practice: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Divide the students into pairs or small groups.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Provide each group with a sample data set (words instead of numbers) and a partially worked example.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Instruct the students to perform an insertion sort on the given data set, following the steps shown in the example.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Circulate the classroom to provide guidance and support as needed.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0pjmjvimjv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Independent Practice: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Distribute worksheets or paper to each student.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Ask the students to perform an insertion sort on a different data set provided on the worksheet.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Encourage the students to work independently and use the partially worked example as a reference.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Collect the completed worksheets or papers for assessment.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xoy8lvoqjft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Exit Ticket: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Give each student a small slip of paper.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Ask them to write down one thing they learned about insertion sort during the lesson.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Collect the exit tickets as the students leave the classroom.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gf25weu736d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Closure: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Recap the main points of the lesson, including the objectives and the steps of an insertion sort.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Emphasize the importance of recognizing and highlighting sublists at different stages of an insertion sort.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Encourage the students to practice performing insertion sorts on different data sets to reinforce their understanding.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Thank the students for their participation and effort in the lesson.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