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606vvd5o7reu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Statistical Measures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740" w:before="580" w:line="370.28571428571433" w:lineRule="auto"/>
        <w:ind w:left="240" w:right="240" w:firstLine="0"/>
        <w:rPr>
          <w:b w:val="1"/>
          <w:color w:val="333333"/>
          <w:sz w:val="35"/>
          <w:szCs w:val="35"/>
        </w:rPr>
      </w:pPr>
      <w:r w:rsidDel="00000000" w:rsidR="00000000" w:rsidRPr="00000000">
        <w:rPr>
          <w:b w:val="1"/>
          <w:color w:val="333333"/>
          <w:sz w:val="35"/>
          <w:szCs w:val="35"/>
          <w:rtl w:val="0"/>
        </w:rPr>
        <w:t xml:space="preserve">Measures of Central Tendency and Spread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58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Explain any measures of central tendency that you used and what you can conclude from them. Was there anything interesting that was revealed by calculating these measures?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74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Describe at least one measure of spread for your dataset. What does the spread tell you about the data?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