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Contracts (continued)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 the contracts to write expressions to generate images similar to those pictured.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rhombus</w:t>
      </w:r>
      <w:r w:rsidDel="00000000" w:rsidR="00000000" w:rsidRPr="00000000">
        <w:rPr>
          <w:color w:val="000000"/>
          <w:rtl w:val="0"/>
        </w:rPr>
        <w:t xml:space="preserve">:: Number, Number, String, String -&gt; Image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0000ee"/>
                  <w:sz w:val="60"/>
                  <w:szCs w:val="60"/>
                  <w:u w:val="single"/>
                  <w:rtl w:val="0"/>
                </w:rPr>
                <w:t xml:space="preserve">🖼</w:t>
              </w:r>
            </w:hyperlink>
            <w:hyperlink r:id="rId12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Show 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Write an expression for a square (rotated) using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rhombus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variable changes with the first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What variable changes with the second Number?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13:35:41 -0400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ootstrapworld.org/materials/spring2021/en-us/courses/data-science/lessons/contracts/images/06a1bf66aad7ae6d.png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s://www.bootstrapworld.org/materials/spring2021/en-us/courses/data-science/lessons/contracts/images/06a1bf66aad7ae6d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data-science/lessons/contracts/images/fc2f2b2a427ae387.png" TargetMode="External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bootstrapworld.org/materials/spring2021/en-us/courses/data-science/lessons/contracts/images/fc2f2b2a427ae387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