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2jcedpasppn" w:id="0"/>
      <w:bookmarkEnd w:id="0"/>
      <w:r w:rsidDel="00000000" w:rsidR="00000000" w:rsidRPr="00000000">
        <w:rPr>
          <w:rtl w:val="0"/>
        </w:rPr>
        <w:t xml:space="preserve">Quiz: Playtesting and Feedback in Board Game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Choose the best answer for each question.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the purpose of playtesting in board game design?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a) To gather feedback from players and improve the 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b) To showcase the game to potential buyers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c) To determine the game's market value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d) To test the durability of the game components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What is a characteristic of good feedback in board game design?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a) Lack of reasoning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b) Solution-oriented without identifying problems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c) Goal-centric and identifies problems and their causes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d) Feedback that focuses on personal preferences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Why is it important to identify the causes of problems in board game design feedback?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a) To ignore the problems and move 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b) To blame the players for not understanding the game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c) To find effective solutions and improve the game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d) To avoid playtesting altogether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What should feedback in board game design focus 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a) The game's intended goals and objectives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b) The player's personal preferences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c) The game's popularity among friends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d) The game's packaging and marketing strategy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What is a characteristic of bad feedback in board game design?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a) Clearly identifying problems or issues within the game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b) Proposing solutions without identifying the underlying problems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c) Analyzing and identifying the causes of the problems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d) Providing reasoning and explanation for the feedback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