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3ddjel3pxv" w:id="0"/>
      <w:bookmarkEnd w:id="0"/>
      <w:r w:rsidDel="00000000" w:rsidR="00000000" w:rsidRPr="00000000">
        <w:rPr>
          <w:rtl w:val="0"/>
        </w:rPr>
        <w:t xml:space="preserve">Understanding Clear and Concise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following board game rules and answer the questions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Game: Mystery Mansion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 Explore the mansion, find clues, and solve the mystery before time runs 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Game 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Player tokens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Clue cards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Timer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Mystery cards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Place the game board in the center of the table.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Each player chooses a token and places it on the starting space.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Shuffle the clue cards and place them face down.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Shuffle the mystery cards and place them face down.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Set the timer to the desired time limit.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The youngest player goes first and play proceeds clockwise.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On your turn, roll the dice and move your token to the corresponding number of spaces.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Follow the instructions on the space you land 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If you land on a clue space, draw a clue card and read it aloud.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If you land on a mystery space, draw a mystery card and read it aloud.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Work together with the other players to solve the mystery using the clues and information from the mystery cards.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If you think you know the solution, announce it to the other players.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If the solution is correct, the players win the game. If not, continue playing until time runs 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Special Rules: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If a player lands on a secret passage space, they can use a secret passage to move to another part of the mansion.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If a player lands on a trap space, they lose a turn.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2lo7q5se6mc" w:id="1"/>
      <w:bookmarkEnd w:id="1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What is the objective of the game?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List three components needed to play the game.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How do you set up the game?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How does gameplay proceed?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What happens if a player lands on a clue space?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How do players win the game?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What are two special rules in the game?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