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boe3rvs29f0" w:id="0"/>
      <w:bookmarkEnd w:id="0"/>
      <w:r w:rsidDel="00000000" w:rsidR="00000000" w:rsidRPr="00000000">
        <w:rPr>
          <w:rtl w:val="0"/>
        </w:rPr>
        <w:t xml:space="preserve">Quiz: Goals in Games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Choose the correct answer for each question.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What are goals in games?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a) The essence of the interactive experience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b) Objectives or targets that players strive to achieve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c) Rewards or extra content for completing additional tasks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d) Competing against other players to achieve the highest score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Which of the following is an example of a main story objective in a game?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a) Completing side quests for rewards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b) Discovering hidden areas within the game world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c) Competing against other players for high scores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d) Completing specific missions or quests to progress in the game's narrative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How do goals in games impact player engagement and motivation?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a) They provide a sense of purpose and direction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b) They encourage players to explore the game world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c) They allow players to compete against each other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d) They provide additional challenges for players to overcome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What is the connection between goals in games and real-life goal-setting?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a) Goals in games have no connection to real-life goal-setting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b) Goals in games can help develop problem-solving skills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c) Real-life goal-setting is not important for success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d) Real-life goals are not as enjoyable as goals in games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What is the purpose of having clear objectives in games?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a) To make the game more challenging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b) To provide rewards for completing tasks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c) To give players a sense of purpose and direction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d) To discourage players from exploring the game world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