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1048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gridCol w:w="1662"/>
        <w:tblGridChange w:id="0">
          <w:tblGrid>
            <w:gridCol w:w="8818"/>
            <w:gridCol w:w="1662"/>
          </w:tblGrid>
        </w:tblGridChange>
      </w:tblGrid>
      <w:tr>
        <w:trPr>
          <w:cantSplit w:val="0"/>
          <w:trHeight w:val="863" w:hRule="atLeast"/>
          <w:tblHeader w:val="0"/>
        </w:trPr>
        <w:tc>
          <w:tcPr>
            <w:gridSpan w:val="2"/>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2">
            <w:pPr>
              <w:pStyle w:val="Heading2"/>
              <w:spacing w:after="0" w:before="0" w:lineRule="auto"/>
              <w:rPr>
                <w:rFonts w:ascii="Arial" w:cs="Arial" w:eastAsia="Arial" w:hAnsi="Arial"/>
                <w:color w:val="ffc000"/>
                <w:sz w:val="24"/>
                <w:szCs w:val="24"/>
              </w:rPr>
            </w:pPr>
            <w:r w:rsidDel="00000000" w:rsidR="00000000" w:rsidRPr="00000000">
              <w:rPr>
                <w:rFonts w:ascii="Arial" w:cs="Arial" w:eastAsia="Arial" w:hAnsi="Arial"/>
                <w:color w:val="b4c6e7"/>
                <w:sz w:val="24"/>
                <w:szCs w:val="24"/>
                <w:rtl w:val="0"/>
              </w:rPr>
              <w:t xml:space="preserve">| </w:t>
            </w:r>
            <w:r w:rsidDel="00000000" w:rsidR="00000000" w:rsidRPr="00000000">
              <w:rPr>
                <w:rFonts w:ascii="Arial" w:cs="Arial" w:eastAsia="Arial" w:hAnsi="Arial"/>
                <w:color w:val="000000"/>
                <w:sz w:val="24"/>
                <w:szCs w:val="24"/>
                <w:rtl w:val="0"/>
              </w:rPr>
              <w:t xml:space="preserve">GUÍA 1.3.2 Documentando alcances, responsabilidades y funciones de microservicios</w:t>
            </w:r>
            <w:r w:rsidDel="00000000" w:rsidR="00000000" w:rsidRPr="00000000">
              <w:rPr>
                <w:rtl w:val="0"/>
              </w:rPr>
            </w:r>
          </w:p>
          <w:p w:rsidR="00000000" w:rsidDel="00000000" w:rsidP="00000000" w:rsidRDefault="00000000" w:rsidRPr="00000000" w14:paraId="00000003">
            <w:pPr>
              <w:pStyle w:val="Heading2"/>
              <w:spacing w:after="0" w:before="0" w:lineRule="auto"/>
              <w:rPr>
                <w:rFonts w:ascii="Arial" w:cs="Arial" w:eastAsia="Arial" w:hAnsi="Arial"/>
                <w:color w:val="595959"/>
                <w:sz w:val="24"/>
                <w:szCs w:val="24"/>
              </w:rPr>
            </w:pPr>
            <w:r w:rsidDel="00000000" w:rsidR="00000000" w:rsidRPr="00000000">
              <w:rPr>
                <w:rtl w:val="0"/>
              </w:rPr>
            </w:r>
          </w:p>
          <w:tbl>
            <w:tblPr>
              <w:tblStyle w:val="Table2"/>
              <w:tblW w:w="96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6"/>
              <w:gridCol w:w="3700"/>
              <w:gridCol w:w="2820"/>
              <w:tblGridChange w:id="0">
                <w:tblGrid>
                  <w:gridCol w:w="3136"/>
                  <w:gridCol w:w="3700"/>
                  <w:gridCol w:w="2820"/>
                </w:tblGrid>
              </w:tblGridChange>
            </w:tblGrid>
            <w:tr>
              <w:trPr>
                <w:cantSplit w:val="0"/>
                <w:tblHeader w:val="0"/>
              </w:trPr>
              <w:tc>
                <w:tcPr>
                  <w:shd w:fill="0070c0" w:val="clear"/>
                </w:tcPr>
                <w:p w:rsidR="00000000" w:rsidDel="00000000" w:rsidP="00000000" w:rsidRDefault="00000000" w:rsidRPr="00000000" w14:paraId="00000004">
                  <w:pPr>
                    <w:pStyle w:val="Heading2"/>
                    <w:spacing w:after="0" w:before="0" w:lineRule="auto"/>
                    <w:jc w:val="center"/>
                    <w:rPr>
                      <w:rFonts w:ascii="Arial" w:cs="Arial" w:eastAsia="Arial" w:hAnsi="Arial"/>
                      <w:color w:val="ffffff"/>
                      <w:sz w:val="22"/>
                      <w:szCs w:val="22"/>
                    </w:rPr>
                  </w:pPr>
                  <w:r w:rsidDel="00000000" w:rsidR="00000000" w:rsidRPr="00000000">
                    <w:rPr>
                      <w:rtl w:val="0"/>
                    </w:rPr>
                  </w:r>
                </w:p>
                <w:p w:rsidR="00000000" w:rsidDel="00000000" w:rsidP="00000000" w:rsidRDefault="00000000" w:rsidRPr="00000000" w14:paraId="00000005">
                  <w:pPr>
                    <w:pStyle w:val="Heading2"/>
                    <w:spacing w:after="0" w:before="0" w:lineRule="auto"/>
                    <w:jc w:val="center"/>
                    <w:rPr>
                      <w:rFonts w:ascii="Arial" w:cs="Arial" w:eastAsia="Arial" w:hAnsi="Arial"/>
                      <w:color w:val="ffffff"/>
                      <w:sz w:val="22"/>
                      <w:szCs w:val="22"/>
                    </w:rPr>
                  </w:pPr>
                  <w:r w:rsidDel="00000000" w:rsidR="00000000" w:rsidRPr="00000000">
                    <w:rPr>
                      <w:rFonts w:ascii="Arial" w:cs="Arial" w:eastAsia="Arial" w:hAnsi="Arial"/>
                      <w:color w:val="ffffff"/>
                      <w:sz w:val="22"/>
                      <w:szCs w:val="22"/>
                      <w:rtl w:val="0"/>
                    </w:rPr>
                    <w:t xml:space="preserve">Sigla</w:t>
                  </w:r>
                </w:p>
                <w:p w:rsidR="00000000" w:rsidDel="00000000" w:rsidP="00000000" w:rsidRDefault="00000000" w:rsidRPr="00000000" w14:paraId="00000006">
                  <w:pPr>
                    <w:pStyle w:val="Heading2"/>
                    <w:spacing w:after="0" w:before="0" w:lineRule="auto"/>
                    <w:jc w:val="center"/>
                    <w:rPr>
                      <w:rFonts w:ascii="Arial" w:cs="Arial" w:eastAsia="Arial" w:hAnsi="Arial"/>
                      <w:color w:val="ffffff"/>
                      <w:sz w:val="22"/>
                      <w:szCs w:val="22"/>
                    </w:rPr>
                  </w:pPr>
                  <w:r w:rsidDel="00000000" w:rsidR="00000000" w:rsidRPr="00000000">
                    <w:rPr>
                      <w:rtl w:val="0"/>
                    </w:rPr>
                  </w:r>
                </w:p>
              </w:tc>
              <w:tc>
                <w:tcPr>
                  <w:shd w:fill="0070c0" w:val="clear"/>
                </w:tcPr>
                <w:p w:rsidR="00000000" w:rsidDel="00000000" w:rsidP="00000000" w:rsidRDefault="00000000" w:rsidRPr="00000000" w14:paraId="00000007">
                  <w:pPr>
                    <w:pStyle w:val="Heading2"/>
                    <w:spacing w:after="0" w:before="0" w:lineRule="auto"/>
                    <w:jc w:val="center"/>
                    <w:rPr>
                      <w:rFonts w:ascii="Arial" w:cs="Arial" w:eastAsia="Arial" w:hAnsi="Arial"/>
                      <w:color w:val="ffffff"/>
                      <w:sz w:val="22"/>
                      <w:szCs w:val="22"/>
                    </w:rPr>
                  </w:pPr>
                  <w:r w:rsidDel="00000000" w:rsidR="00000000" w:rsidRPr="00000000">
                    <w:rPr>
                      <w:rtl w:val="0"/>
                    </w:rPr>
                  </w:r>
                </w:p>
                <w:p w:rsidR="00000000" w:rsidDel="00000000" w:rsidP="00000000" w:rsidRDefault="00000000" w:rsidRPr="00000000" w14:paraId="00000008">
                  <w:pPr>
                    <w:pStyle w:val="Heading2"/>
                    <w:spacing w:after="0" w:before="0" w:lineRule="auto"/>
                    <w:jc w:val="center"/>
                    <w:rPr>
                      <w:rFonts w:ascii="Arial" w:cs="Arial" w:eastAsia="Arial" w:hAnsi="Arial"/>
                      <w:color w:val="ffffff"/>
                      <w:sz w:val="22"/>
                      <w:szCs w:val="22"/>
                    </w:rPr>
                  </w:pPr>
                  <w:r w:rsidDel="00000000" w:rsidR="00000000" w:rsidRPr="00000000">
                    <w:rPr>
                      <w:rFonts w:ascii="Arial" w:cs="Arial" w:eastAsia="Arial" w:hAnsi="Arial"/>
                      <w:color w:val="ffffff"/>
                      <w:sz w:val="22"/>
                      <w:szCs w:val="22"/>
                      <w:rtl w:val="0"/>
                    </w:rPr>
                    <w:t xml:space="preserve">Asignatura</w:t>
                  </w:r>
                </w:p>
              </w:tc>
              <w:tc>
                <w:tcPr>
                  <w:shd w:fill="0070c0" w:val="clear"/>
                </w:tcPr>
                <w:p w:rsidR="00000000" w:rsidDel="00000000" w:rsidP="00000000" w:rsidRDefault="00000000" w:rsidRPr="00000000" w14:paraId="00000009">
                  <w:pPr>
                    <w:pStyle w:val="Heading2"/>
                    <w:spacing w:after="0" w:before="0" w:lineRule="auto"/>
                    <w:jc w:val="center"/>
                    <w:rPr>
                      <w:rFonts w:ascii="Arial" w:cs="Arial" w:eastAsia="Arial" w:hAnsi="Arial"/>
                      <w:color w:val="ffffff"/>
                      <w:sz w:val="22"/>
                      <w:szCs w:val="22"/>
                    </w:rPr>
                  </w:pPr>
                  <w:r w:rsidDel="00000000" w:rsidR="00000000" w:rsidRPr="00000000">
                    <w:rPr>
                      <w:rtl w:val="0"/>
                    </w:rPr>
                  </w:r>
                </w:p>
                <w:p w:rsidR="00000000" w:rsidDel="00000000" w:rsidP="00000000" w:rsidRDefault="00000000" w:rsidRPr="00000000" w14:paraId="0000000A">
                  <w:pPr>
                    <w:pStyle w:val="Heading2"/>
                    <w:spacing w:after="0" w:before="0" w:lineRule="auto"/>
                    <w:jc w:val="center"/>
                    <w:rPr>
                      <w:rFonts w:ascii="Arial" w:cs="Arial" w:eastAsia="Arial" w:hAnsi="Arial"/>
                      <w:color w:val="ffffff"/>
                      <w:sz w:val="22"/>
                      <w:szCs w:val="22"/>
                    </w:rPr>
                  </w:pPr>
                  <w:r w:rsidDel="00000000" w:rsidR="00000000" w:rsidRPr="00000000">
                    <w:rPr>
                      <w:rFonts w:ascii="Arial" w:cs="Arial" w:eastAsia="Arial" w:hAnsi="Arial"/>
                      <w:color w:val="ffffff"/>
                      <w:sz w:val="22"/>
                      <w:szCs w:val="22"/>
                      <w:rtl w:val="0"/>
                    </w:rPr>
                    <w:t xml:space="preserve">Experiencia de Aprendizaje</w:t>
                  </w:r>
                </w:p>
              </w:tc>
            </w:tr>
            <w:tr>
              <w:trPr>
                <w:cantSplit w:val="0"/>
                <w:tblHeader w:val="0"/>
              </w:trPr>
              <w:tc>
                <w:tcPr>
                  <w:shd w:fill="ececec" w:val="clear"/>
                </w:tcPr>
                <w:p w:rsidR="00000000" w:rsidDel="00000000" w:rsidP="00000000" w:rsidRDefault="00000000" w:rsidRPr="00000000" w14:paraId="0000000B">
                  <w:pPr>
                    <w:pStyle w:val="Heading2"/>
                    <w:spacing w:after="0" w:before="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C">
                  <w:pPr>
                    <w:pStyle w:val="Heading2"/>
                    <w:spacing w:after="0" w:before="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JVY0101</w:t>
                  </w:r>
                </w:p>
                <w:p w:rsidR="00000000" w:rsidDel="00000000" w:rsidP="00000000" w:rsidRDefault="00000000" w:rsidRPr="00000000" w14:paraId="0000000D">
                  <w:pPr>
                    <w:pStyle w:val="Heading2"/>
                    <w:spacing w:after="0" w:before="0" w:lineRule="auto"/>
                    <w:jc w:val="center"/>
                    <w:rPr>
                      <w:rFonts w:ascii="Arial" w:cs="Arial" w:eastAsia="Arial" w:hAnsi="Arial"/>
                      <w:sz w:val="22"/>
                      <w:szCs w:val="22"/>
                    </w:rPr>
                  </w:pPr>
                  <w:r w:rsidDel="00000000" w:rsidR="00000000" w:rsidRPr="00000000">
                    <w:rPr>
                      <w:rtl w:val="0"/>
                    </w:rPr>
                  </w:r>
                </w:p>
              </w:tc>
              <w:tc>
                <w:tcPr>
                  <w:shd w:fill="ececec" w:val="clear"/>
                </w:tcPr>
                <w:p w:rsidR="00000000" w:rsidDel="00000000" w:rsidP="00000000" w:rsidRDefault="00000000" w:rsidRPr="00000000" w14:paraId="0000000E">
                  <w:pPr>
                    <w:pStyle w:val="Heading2"/>
                    <w:spacing w:after="0" w:before="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F">
                  <w:pPr>
                    <w:pStyle w:val="Heading2"/>
                    <w:spacing w:after="0" w:before="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Java: Diseño y Construcción de Soluciones Nativas en Nube</w:t>
                  </w:r>
                </w:p>
                <w:p w:rsidR="00000000" w:rsidDel="00000000" w:rsidP="00000000" w:rsidRDefault="00000000" w:rsidRPr="00000000" w14:paraId="00000010">
                  <w:pPr>
                    <w:pStyle w:val="Heading2"/>
                    <w:spacing w:after="0" w:before="0" w:lineRule="auto"/>
                    <w:jc w:val="center"/>
                    <w:rPr>
                      <w:rFonts w:ascii="Arial" w:cs="Arial" w:eastAsia="Arial" w:hAnsi="Arial"/>
                      <w:sz w:val="22"/>
                      <w:szCs w:val="22"/>
                    </w:rPr>
                  </w:pPr>
                  <w:r w:rsidDel="00000000" w:rsidR="00000000" w:rsidRPr="00000000">
                    <w:rPr>
                      <w:rtl w:val="0"/>
                    </w:rPr>
                  </w:r>
                </w:p>
              </w:tc>
              <w:tc>
                <w:tcPr>
                  <w:shd w:fill="ececec" w:val="clear"/>
                </w:tcPr>
                <w:p w:rsidR="00000000" w:rsidDel="00000000" w:rsidP="00000000" w:rsidRDefault="00000000" w:rsidRPr="00000000" w14:paraId="00000011">
                  <w:pPr>
                    <w:pStyle w:val="Heading2"/>
                    <w:spacing w:after="0" w:before="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2">
                  <w:pPr>
                    <w:pStyle w:val="Heading2"/>
                    <w:spacing w:after="0" w:before="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EA1</w:t>
                  </w:r>
                </w:p>
              </w:tc>
            </w:tr>
            <w:tr>
              <w:trPr>
                <w:cantSplit w:val="0"/>
                <w:tblHeader w:val="0"/>
              </w:trPr>
              <w:tc>
                <w:tcPr>
                  <w:shd w:fill="0070c0" w:val="clear"/>
                </w:tcPr>
                <w:p w:rsidR="00000000" w:rsidDel="00000000" w:rsidP="00000000" w:rsidRDefault="00000000" w:rsidRPr="00000000" w14:paraId="00000013">
                  <w:pPr>
                    <w:pStyle w:val="Heading2"/>
                    <w:spacing w:after="0" w:before="0" w:lineRule="auto"/>
                    <w:jc w:val="center"/>
                    <w:rPr>
                      <w:rFonts w:ascii="Arial" w:cs="Arial" w:eastAsia="Arial" w:hAnsi="Arial"/>
                      <w:color w:val="ffffff"/>
                      <w:sz w:val="22"/>
                      <w:szCs w:val="22"/>
                    </w:rPr>
                  </w:pPr>
                  <w:r w:rsidDel="00000000" w:rsidR="00000000" w:rsidRPr="00000000">
                    <w:rPr>
                      <w:rtl w:val="0"/>
                    </w:rPr>
                  </w:r>
                </w:p>
                <w:p w:rsidR="00000000" w:rsidDel="00000000" w:rsidP="00000000" w:rsidRDefault="00000000" w:rsidRPr="00000000" w14:paraId="00000014">
                  <w:pPr>
                    <w:pStyle w:val="Heading2"/>
                    <w:spacing w:after="0" w:before="0" w:lineRule="auto"/>
                    <w:jc w:val="center"/>
                    <w:rPr>
                      <w:rFonts w:ascii="Arial" w:cs="Arial" w:eastAsia="Arial" w:hAnsi="Arial"/>
                      <w:color w:val="ffffff"/>
                      <w:sz w:val="22"/>
                      <w:szCs w:val="22"/>
                    </w:rPr>
                  </w:pPr>
                  <w:r w:rsidDel="00000000" w:rsidR="00000000" w:rsidRPr="00000000">
                    <w:rPr>
                      <w:rFonts w:ascii="Arial" w:cs="Arial" w:eastAsia="Arial" w:hAnsi="Arial"/>
                      <w:color w:val="ffffff"/>
                      <w:sz w:val="22"/>
                      <w:szCs w:val="22"/>
                      <w:rtl w:val="0"/>
                    </w:rPr>
                    <w:t xml:space="preserve">Tiempo</w:t>
                  </w:r>
                </w:p>
                <w:p w:rsidR="00000000" w:rsidDel="00000000" w:rsidP="00000000" w:rsidRDefault="00000000" w:rsidRPr="00000000" w14:paraId="00000015">
                  <w:pPr>
                    <w:pStyle w:val="Heading2"/>
                    <w:spacing w:after="0" w:before="0" w:lineRule="auto"/>
                    <w:jc w:val="center"/>
                    <w:rPr>
                      <w:rFonts w:ascii="Arial" w:cs="Arial" w:eastAsia="Arial" w:hAnsi="Arial"/>
                      <w:color w:val="ffffff"/>
                      <w:sz w:val="22"/>
                      <w:szCs w:val="22"/>
                    </w:rPr>
                  </w:pPr>
                  <w:r w:rsidDel="00000000" w:rsidR="00000000" w:rsidRPr="00000000">
                    <w:rPr>
                      <w:rtl w:val="0"/>
                    </w:rPr>
                  </w:r>
                </w:p>
              </w:tc>
              <w:tc>
                <w:tcPr>
                  <w:shd w:fill="0070c0" w:val="clear"/>
                </w:tcPr>
                <w:p w:rsidR="00000000" w:rsidDel="00000000" w:rsidP="00000000" w:rsidRDefault="00000000" w:rsidRPr="00000000" w14:paraId="00000016">
                  <w:pPr>
                    <w:pStyle w:val="Heading2"/>
                    <w:spacing w:after="0" w:before="0" w:lineRule="auto"/>
                    <w:jc w:val="center"/>
                    <w:rPr>
                      <w:rFonts w:ascii="Arial" w:cs="Arial" w:eastAsia="Arial" w:hAnsi="Arial"/>
                      <w:color w:val="ffffff"/>
                      <w:sz w:val="22"/>
                      <w:szCs w:val="22"/>
                    </w:rPr>
                  </w:pPr>
                  <w:r w:rsidDel="00000000" w:rsidR="00000000" w:rsidRPr="00000000">
                    <w:rPr>
                      <w:rtl w:val="0"/>
                    </w:rPr>
                  </w:r>
                </w:p>
                <w:p w:rsidR="00000000" w:rsidDel="00000000" w:rsidP="00000000" w:rsidRDefault="00000000" w:rsidRPr="00000000" w14:paraId="00000017">
                  <w:pPr>
                    <w:pStyle w:val="Heading2"/>
                    <w:spacing w:after="0" w:before="0" w:lineRule="auto"/>
                    <w:jc w:val="center"/>
                    <w:rPr>
                      <w:rFonts w:ascii="Arial" w:cs="Arial" w:eastAsia="Arial" w:hAnsi="Arial"/>
                      <w:color w:val="ffffff"/>
                      <w:sz w:val="22"/>
                      <w:szCs w:val="22"/>
                    </w:rPr>
                  </w:pPr>
                  <w:r w:rsidDel="00000000" w:rsidR="00000000" w:rsidRPr="00000000">
                    <w:rPr>
                      <w:rFonts w:ascii="Arial" w:cs="Arial" w:eastAsia="Arial" w:hAnsi="Arial"/>
                      <w:color w:val="ffffff"/>
                      <w:sz w:val="22"/>
                      <w:szCs w:val="22"/>
                      <w:rtl w:val="0"/>
                    </w:rPr>
                    <w:t xml:space="preserve">Modalidad de Trabajo</w:t>
                  </w:r>
                </w:p>
              </w:tc>
              <w:tc>
                <w:tcPr>
                  <w:shd w:fill="0070c0" w:val="clear"/>
                </w:tcPr>
                <w:p w:rsidR="00000000" w:rsidDel="00000000" w:rsidP="00000000" w:rsidRDefault="00000000" w:rsidRPr="00000000" w14:paraId="00000018">
                  <w:pPr>
                    <w:pStyle w:val="Heading2"/>
                    <w:spacing w:after="0" w:before="0" w:lineRule="auto"/>
                    <w:jc w:val="center"/>
                    <w:rPr>
                      <w:rFonts w:ascii="Arial" w:cs="Arial" w:eastAsia="Arial" w:hAnsi="Arial"/>
                      <w:color w:val="ffffff"/>
                      <w:sz w:val="22"/>
                      <w:szCs w:val="22"/>
                    </w:rPr>
                  </w:pPr>
                  <w:r w:rsidDel="00000000" w:rsidR="00000000" w:rsidRPr="00000000">
                    <w:rPr>
                      <w:rtl w:val="0"/>
                    </w:rPr>
                  </w:r>
                </w:p>
                <w:p w:rsidR="00000000" w:rsidDel="00000000" w:rsidP="00000000" w:rsidRDefault="00000000" w:rsidRPr="00000000" w14:paraId="00000019">
                  <w:pPr>
                    <w:pStyle w:val="Heading2"/>
                    <w:spacing w:after="0" w:before="0" w:lineRule="auto"/>
                    <w:jc w:val="center"/>
                    <w:rPr>
                      <w:rFonts w:ascii="Arial" w:cs="Arial" w:eastAsia="Arial" w:hAnsi="Arial"/>
                      <w:color w:val="ffffff"/>
                      <w:sz w:val="22"/>
                      <w:szCs w:val="22"/>
                    </w:rPr>
                  </w:pPr>
                  <w:r w:rsidDel="00000000" w:rsidR="00000000" w:rsidRPr="00000000">
                    <w:rPr>
                      <w:rFonts w:ascii="Arial" w:cs="Arial" w:eastAsia="Arial" w:hAnsi="Arial"/>
                      <w:color w:val="ffffff"/>
                      <w:sz w:val="22"/>
                      <w:szCs w:val="22"/>
                      <w:rtl w:val="0"/>
                    </w:rPr>
                    <w:t xml:space="preserve">Indicadores de Logro</w:t>
                  </w:r>
                </w:p>
              </w:tc>
            </w:tr>
            <w:tr>
              <w:trPr>
                <w:cantSplit w:val="0"/>
                <w:tblHeader w:val="0"/>
              </w:trPr>
              <w:tc>
                <w:tcPr>
                  <w:shd w:fill="ececec" w:val="clear"/>
                </w:tcPr>
                <w:p w:rsidR="00000000" w:rsidDel="00000000" w:rsidP="00000000" w:rsidRDefault="00000000" w:rsidRPr="00000000" w14:paraId="0000001A">
                  <w:pPr>
                    <w:pStyle w:val="Heading2"/>
                    <w:spacing w:after="0" w:before="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B">
                  <w:pPr>
                    <w:pStyle w:val="Heading2"/>
                    <w:spacing w:after="0" w:before="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hora</w:t>
                  </w:r>
                </w:p>
              </w:tc>
              <w:tc>
                <w:tcPr>
                  <w:shd w:fill="ececec" w:val="clear"/>
                </w:tcPr>
                <w:p w:rsidR="00000000" w:rsidDel="00000000" w:rsidP="00000000" w:rsidRDefault="00000000" w:rsidRPr="00000000" w14:paraId="0000001C">
                  <w:pPr>
                    <w:pStyle w:val="Heading2"/>
                    <w:spacing w:after="0" w:before="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D">
                  <w:pPr>
                    <w:pStyle w:val="Heading2"/>
                    <w:spacing w:after="0" w:before="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Individual</w:t>
                  </w:r>
                </w:p>
              </w:tc>
              <w:tc>
                <w:tcPr>
                  <w:shd w:fill="ececec" w:val="clear"/>
                </w:tcPr>
                <w:p w:rsidR="00000000" w:rsidDel="00000000" w:rsidP="00000000" w:rsidRDefault="00000000" w:rsidRPr="00000000" w14:paraId="0000001E">
                  <w:pPr>
                    <w:pStyle w:val="Heading2"/>
                    <w:spacing w:after="0" w:before="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F">
                  <w:pPr>
                    <w:pStyle w:val="Heading2"/>
                    <w:spacing w:after="0" w:before="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IL1.3</w:t>
                  </w:r>
                </w:p>
                <w:p w:rsidR="00000000" w:rsidDel="00000000" w:rsidP="00000000" w:rsidRDefault="00000000" w:rsidRPr="00000000" w14:paraId="00000020">
                  <w:pPr>
                    <w:pStyle w:val="Heading2"/>
                    <w:spacing w:after="0" w:before="0" w:lineRule="auto"/>
                    <w:jc w:val="cente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21">
            <w:pPr>
              <w:pStyle w:val="Heading2"/>
              <w:spacing w:after="0" w:before="0" w:lineRule="auto"/>
              <w:rPr>
                <w:rFonts w:ascii="Arial" w:cs="Arial" w:eastAsia="Arial" w:hAnsi="Arial"/>
                <w:color w:val="595959"/>
                <w:sz w:val="24"/>
                <w:szCs w:val="24"/>
              </w:rPr>
            </w:pPr>
            <w:r w:rsidDel="00000000" w:rsidR="00000000" w:rsidRPr="00000000">
              <w:rPr>
                <w:rtl w:val="0"/>
              </w:rPr>
            </w:r>
          </w:p>
        </w:tc>
      </w:tr>
      <w:tr>
        <w:trPr>
          <w:cantSplit w:val="0"/>
          <w:trHeight w:val="597"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3">
            <w:pPr>
              <w:rPr>
                <w:rFonts w:ascii="Arial" w:cs="Arial" w:eastAsia="Arial" w:hAnsi="Arial"/>
                <w:b w:val="1"/>
                <w:bCs w:val="1"/>
                <w:color w:val="ffc000"/>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606425</wp:posOffset>
                  </wp:positionH>
                  <wp:positionV relativeFrom="paragraph">
                    <wp:posOffset>102235</wp:posOffset>
                  </wp:positionV>
                  <wp:extent cx="502920" cy="502920"/>
                  <wp:effectExtent b="0" l="0" r="0" t="0"/>
                  <wp:wrapNone/>
                  <wp:docPr descr="Código QR con relleno sólido" id="2106009976" name="image2.png"/>
                  <a:graphic>
                    <a:graphicData uri="http://schemas.openxmlformats.org/drawingml/2006/picture">
                      <pic:pic>
                        <pic:nvPicPr>
                          <pic:cNvPr descr="Código QR con relleno sólido" id="0" name="image2.png"/>
                          <pic:cNvPicPr preferRelativeResize="0"/>
                        </pic:nvPicPr>
                        <pic:blipFill>
                          <a:blip r:embed="rId7"/>
                          <a:srcRect b="0" l="0" r="0" t="0"/>
                          <a:stretch>
                            <a:fillRect/>
                          </a:stretch>
                        </pic:blipFill>
                        <pic:spPr>
                          <a:xfrm>
                            <a:off x="0" y="0"/>
                            <a:ext cx="502920" cy="502920"/>
                          </a:xfrm>
                          <a:prstGeom prst="rect"/>
                          <a:ln/>
                        </pic:spPr>
                      </pic:pic>
                    </a:graphicData>
                  </a:graphic>
                </wp:anchor>
              </w:drawing>
            </w:r>
          </w:p>
          <w:p w:rsidR="00000000" w:rsidDel="00000000" w:rsidP="00000000" w:rsidRDefault="00000000" w:rsidRPr="00000000" w14:paraId="00000024">
            <w:pP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        Objetivo</w:t>
            </w:r>
          </w:p>
        </w:tc>
      </w:tr>
    </w:tbl>
    <w:p w:rsidR="00000000" w:rsidDel="00000000" w:rsidP="00000000" w:rsidRDefault="00000000" w:rsidRPr="00000000" w14:paraId="00000025">
      <w:pPr>
        <w:pStyle w:val="Heading2"/>
        <w:spacing w:after="0" w:before="0" w:lineRule="auto"/>
        <w:jc w:val="both"/>
        <w:rPr>
          <w:rFonts w:ascii="Calibri" w:cs="Calibri" w:eastAsia="Calibri" w:hAnsi="Calibri"/>
          <w:b w:val="0"/>
          <w:bCs w:val="0"/>
          <w:sz w:val="22"/>
          <w:szCs w:val="22"/>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118746</wp:posOffset>
                </wp:positionV>
                <wp:extent cx="0" cy="12700"/>
                <wp:effectExtent b="0" l="0" r="0" t="0"/>
                <wp:wrapNone/>
                <wp:docPr id="2106009974" name=""/>
                <a:graphic>
                  <a:graphicData uri="http://schemas.microsoft.com/office/word/2010/wordprocessingShape">
                    <wps:wsp>
                      <wps:cNvCnPr/>
                      <wps:spPr>
                        <a:xfrm>
                          <a:off x="2517075" y="3780000"/>
                          <a:ext cx="5657850" cy="0"/>
                        </a:xfrm>
                        <a:prstGeom prst="straightConnector1">
                          <a:avLst/>
                        </a:prstGeom>
                        <a:noFill/>
                        <a:ln cap="flat" cmpd="sng" w="9525">
                          <a:solidFill>
                            <a:srgbClr val="B3C6E7"/>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118746</wp:posOffset>
                </wp:positionV>
                <wp:extent cx="0" cy="12700"/>
                <wp:effectExtent b="0" l="0" r="0" t="0"/>
                <wp:wrapNone/>
                <wp:docPr id="2106009974"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Definir los límites funcionales de los microservicios, sus propósitos individuales y sus interacciones con otros servicios o componentes de la solución.</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rPr>
          <w:rFonts w:ascii="Arial" w:cs="Arial" w:eastAsia="Arial" w:hAnsi="Arial"/>
          <w:b w:val="1"/>
          <w:bCs w:val="1"/>
          <w:sz w:val="22"/>
          <w:szCs w:val="22"/>
        </w:rPr>
      </w:pPr>
      <w:r w:rsidDel="00000000" w:rsidR="00000000" w:rsidRPr="00000000">
        <w:rPr>
          <w:rtl w:val="0"/>
        </w:rPr>
      </w:r>
    </w:p>
    <w:tbl>
      <w:tblPr>
        <w:tblStyle w:val="Table3"/>
        <w:tblW w:w="176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gridCol w:w="8818"/>
        <w:tblGridChange w:id="0">
          <w:tblGrid>
            <w:gridCol w:w="8818"/>
            <w:gridCol w:w="8818"/>
          </w:tblGrid>
        </w:tblGridChange>
      </w:tblGrid>
      <w:tr>
        <w:trPr>
          <w:cantSplit w:val="0"/>
          <w:trHeight w:val="329"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A">
            <w:pPr>
              <w:rPr>
                <w:rFonts w:ascii="Arial" w:cs="Arial" w:eastAsia="Arial" w:hAnsi="Arial"/>
                <w:color w:val="ffc000"/>
                <w:sz w:val="32"/>
                <w:szCs w:val="32"/>
              </w:rPr>
            </w:pPr>
            <w:r w:rsidDel="00000000" w:rsidR="00000000" w:rsidRPr="00000000">
              <w:rPr>
                <w:rFonts w:ascii="Arial" w:cs="Arial" w:eastAsia="Arial" w:hAnsi="Arial"/>
                <w:b w:val="1"/>
                <w:bCs w:val="1"/>
                <w:color w:val="000000"/>
                <w:sz w:val="32"/>
                <w:szCs w:val="32"/>
              </w:rPr>
              <w:drawing>
                <wp:inline distB="0" distT="0" distL="0" distR="0">
                  <wp:extent cx="432019" cy="432019"/>
                  <wp:effectExtent b="0" l="0" r="0" t="0"/>
                  <wp:docPr descr="Inteligencia artificial con relleno sólido" id="2106009978" name="image3.png"/>
                  <a:graphic>
                    <a:graphicData uri="http://schemas.openxmlformats.org/drawingml/2006/picture">
                      <pic:pic>
                        <pic:nvPicPr>
                          <pic:cNvPr descr="Inteligencia artificial con relleno sólido" id="0" name="image3.png"/>
                          <pic:cNvPicPr preferRelativeResize="0"/>
                        </pic:nvPicPr>
                        <pic:blipFill>
                          <a:blip r:embed="rId9"/>
                          <a:srcRect b="0" l="0" r="0" t="0"/>
                          <a:stretch>
                            <a:fillRect/>
                          </a:stretch>
                        </pic:blipFill>
                        <pic:spPr>
                          <a:xfrm>
                            <a:off x="0" y="0"/>
                            <a:ext cx="432019" cy="432019"/>
                          </a:xfrm>
                          <a:prstGeom prst="rect"/>
                          <a:ln/>
                        </pic:spPr>
                      </pic:pic>
                    </a:graphicData>
                  </a:graphic>
                </wp:inline>
              </w:drawing>
            </w:r>
            <w:r w:rsidDel="00000000" w:rsidR="00000000" w:rsidRPr="00000000">
              <w:rPr>
                <w:rFonts w:ascii="Arial" w:cs="Arial" w:eastAsia="Arial" w:hAnsi="Arial"/>
                <w:b w:val="1"/>
                <w:bCs w:val="1"/>
                <w:color w:val="000000"/>
                <w:sz w:val="32"/>
                <w:szCs w:val="32"/>
                <w:rtl w:val="0"/>
              </w:rPr>
              <w:t xml:space="preserve">Actividades  </w:t>
            </w:r>
            <w:r w:rsidDel="00000000" w:rsidR="00000000" w:rsidRPr="00000000">
              <w:rPr>
                <w:rtl w:val="0"/>
              </w:rPr>
            </w:r>
          </w:p>
        </w:tc>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B">
            <w:pPr>
              <w:pStyle w:val="Heading2"/>
              <w:spacing w:after="0" w:before="0" w:lineRule="auto"/>
              <w:rPr>
                <w:rFonts w:ascii="Arial" w:cs="Arial" w:eastAsia="Arial" w:hAnsi="Arial"/>
                <w:color w:val="ffc000"/>
                <w:sz w:val="32"/>
                <w:szCs w:val="32"/>
              </w:rPr>
            </w:pPr>
            <w:r w:rsidDel="00000000" w:rsidR="00000000" w:rsidRPr="00000000">
              <w:rPr>
                <w:rtl w:val="0"/>
              </w:rPr>
            </w:r>
          </w:p>
          <w:p w:rsidR="00000000" w:rsidDel="00000000" w:rsidP="00000000" w:rsidRDefault="00000000" w:rsidRPr="00000000" w14:paraId="0000002C">
            <w:pPr>
              <w:pStyle w:val="Heading2"/>
              <w:spacing w:after="0" w:before="0" w:lineRule="auto"/>
              <w:rPr>
                <w:rFonts w:ascii="Arial" w:cs="Arial" w:eastAsia="Arial" w:hAnsi="Arial"/>
                <w:color w:val="ffc000"/>
                <w:sz w:val="32"/>
                <w:szCs w:val="32"/>
              </w:rPr>
            </w:pPr>
            <w:r w:rsidDel="00000000" w:rsidR="00000000" w:rsidRPr="00000000">
              <w:rPr>
                <w:rtl w:val="0"/>
              </w:rPr>
            </w:r>
          </w:p>
        </w:tc>
      </w:tr>
    </w:tbl>
    <w:p w:rsidR="00000000" w:rsidDel="00000000" w:rsidP="00000000" w:rsidRDefault="00000000" w:rsidRPr="00000000" w14:paraId="0000002D">
      <w:pPr>
        <w:tabs>
          <w:tab w:val="left" w:leader="none" w:pos="8880"/>
        </w:tabs>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ab/>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-634</wp:posOffset>
                </wp:positionH>
                <wp:positionV relativeFrom="paragraph">
                  <wp:posOffset>36830</wp:posOffset>
                </wp:positionV>
                <wp:extent cx="0" cy="12700"/>
                <wp:effectExtent b="0" l="0" r="0" t="0"/>
                <wp:wrapNone/>
                <wp:docPr id="2106009975"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-634</wp:posOffset>
                </wp:positionH>
                <wp:positionV relativeFrom="paragraph">
                  <wp:posOffset>36830</wp:posOffset>
                </wp:positionV>
                <wp:extent cx="0" cy="12700"/>
                <wp:effectExtent b="0" l="0" r="0" t="0"/>
                <wp:wrapNone/>
                <wp:docPr id="2106009975"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2E">
      <w:pPr>
        <w:rPr>
          <w:rFonts w:ascii="Aptos Narrow" w:cs="Aptos Narrow" w:eastAsia="Aptos Narrow" w:hAnsi="Aptos Narrow"/>
          <w:sz w:val="22"/>
          <w:szCs w:val="22"/>
        </w:rPr>
      </w:pPr>
      <w:r w:rsidDel="00000000" w:rsidR="00000000" w:rsidRPr="00000000">
        <w:rPr>
          <w:rFonts w:ascii="Aptos Narrow" w:cs="Aptos Narrow" w:eastAsia="Aptos Narrow" w:hAnsi="Aptos Narrow"/>
          <w:sz w:val="22"/>
          <w:szCs w:val="22"/>
          <w:rtl w:val="0"/>
        </w:rPr>
        <w:t xml:space="preserve">Esta actividad guiada tiene como propósito que los/las estudiantes documenten de forma clara y estructurada los alcances, responsabilidades y funciones clave de cada microservicio identificado previamente en su solución. Esto permitirá establecer límites (boundaries) bien definidos y garantizar una arquitectura desacoplada y coherente con los principios del diseño de microservicios. </w:t>
      </w:r>
    </w:p>
    <w:p w:rsidR="00000000" w:rsidDel="00000000" w:rsidP="00000000" w:rsidRDefault="00000000" w:rsidRPr="00000000" w14:paraId="0000002F">
      <w:pPr>
        <w:rPr>
          <w:rFonts w:ascii="Aptos Narrow" w:cs="Aptos Narrow" w:eastAsia="Aptos Narrow" w:hAnsi="Aptos Narrow"/>
          <w:sz w:val="22"/>
          <w:szCs w:val="22"/>
        </w:rPr>
      </w:pPr>
      <w:r w:rsidDel="00000000" w:rsidR="00000000" w:rsidRPr="00000000">
        <w:rPr>
          <w:rtl w:val="0"/>
        </w:rPr>
      </w:r>
    </w:p>
    <w:p w:rsidR="00000000" w:rsidDel="00000000" w:rsidP="00000000" w:rsidRDefault="00000000" w:rsidRPr="00000000" w14:paraId="00000030">
      <w:pPr>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Instrucciones:</w:t>
      </w:r>
    </w:p>
    <w:p w:rsidR="00000000" w:rsidDel="00000000" w:rsidP="00000000" w:rsidRDefault="00000000" w:rsidRPr="00000000" w14:paraId="00000031">
      <w:pPr>
        <w:rPr>
          <w:rFonts w:ascii="Aptos Narrow" w:cs="Aptos Narrow" w:eastAsia="Aptos Narrow" w:hAnsi="Aptos Narrow"/>
          <w:b w:val="1"/>
          <w:bCs w:val="1"/>
          <w:sz w:val="22"/>
          <w:szCs w:val="22"/>
        </w:rPr>
      </w:pPr>
      <w:r w:rsidDel="00000000" w:rsidR="00000000" w:rsidRPr="00000000">
        <w:rPr>
          <w:rtl w:val="0"/>
        </w:rPr>
      </w:r>
    </w:p>
    <w:p w:rsidR="00000000" w:rsidDel="00000000" w:rsidP="00000000" w:rsidRDefault="00000000" w:rsidRPr="00000000" w14:paraId="00000032">
      <w:pPr>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1. Selecciona el caso de proyecto en el que estás trabajando. </w:t>
      </w:r>
    </w:p>
    <w:p w:rsidR="00000000" w:rsidDel="00000000" w:rsidP="00000000" w:rsidRDefault="00000000" w:rsidRPr="00000000" w14:paraId="00000033">
      <w:pPr>
        <w:rPr>
          <w:rFonts w:ascii="Aptos Narrow" w:cs="Aptos Narrow" w:eastAsia="Aptos Narrow" w:hAnsi="Aptos Narrow"/>
          <w:b w:val="1"/>
          <w:bCs w:val="1"/>
          <w:sz w:val="22"/>
          <w:szCs w:val="22"/>
        </w:rPr>
      </w:pPr>
      <w:r w:rsidDel="00000000" w:rsidR="00000000" w:rsidRPr="00000000">
        <w:rPr>
          <w:rtl w:val="0"/>
        </w:rPr>
      </w:r>
    </w:p>
    <w:tbl>
      <w:tblPr>
        <w:tblStyle w:val="Table4"/>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p w:rsidR="00000000" w:rsidDel="00000000" w:rsidP="00000000" w:rsidRDefault="00000000" w:rsidRPr="00000000" w14:paraId="00000034">
            <w:pP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Aplicación móvil interna para funcionarios de un CESFAM, pensada para facilitar la organización interna del establecimiento. Permite ubicar rápidamente a los compañeros de trabajo, conocer su disponibilidad, gestionar el estacionamiento cuando un vehículo bloquea una salida y enviar notificaciones internas.</w:t>
              <w:br w:type="textWrapping"/>
              <w:t xml:space="preserve"> Como en un CESFAM trabajan muchas personas de distintas áreas, no siempre todos los funcionarios se conocen entre sí. Por eso, cada trabajador contará con un perfil dentro de la app donde se podrá ver su foto, cargo o profesión, área, sector, horario habitual y contacto laboral, lo que permite identificar rápidamente quién es la persona y a qué se dedica, sin tener que preguntar en otras unidades.</w:t>
              <w:br w:type="textWrapping"/>
              <w:t xml:space="preserve"> La aplicación contará con autenticación y autorización para controlar el acceso. Los funcionarios podrán consultar información y utilizar las funciones habilitadas, mientras que un administrador tendrá permisos adicionales para mantener información y actualizar estados excepcionales.</w:t>
              <w:br w:type="textWrapping"/>
              <w:t xml:space="preserve"> Como futura implementación, se propone integrar la aplicación con el sistema de marcación biométrica utilizado en el CESFAM, de manera que las marcaciones de entrada y salida puedan apoyar la actualización automática del estado de presencia. Esta integración se plantea como una mejora futura y no como una función disponible inicialmente.</w:t>
              <w:br w:type="textWrapping"/>
              <w:t xml:space="preserve"> La aplicación no reemplaza los sistemas clínicos existentes ni guarda información de pacientes; se enfoca solo en la gestión interna de los funcionarios.</w:t>
            </w:r>
          </w:p>
          <w:p w:rsidR="00000000" w:rsidDel="00000000" w:rsidP="00000000" w:rsidRDefault="00000000" w:rsidRPr="00000000" w14:paraId="00000035">
            <w:pP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Siguiendo los principios de diseño de microservicios, cada uno de estos servicios contará con su propia base de datos, evitando que compartan directamente su información y reforzando el bajo acoplamiento entre ellos.</w:t>
            </w:r>
          </w:p>
          <w:p w:rsidR="00000000" w:rsidDel="00000000" w:rsidP="00000000" w:rsidRDefault="00000000" w:rsidRPr="00000000" w14:paraId="00000036">
            <w:pP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Para que los microservicios puedan encontrarse entre sí y la aplicación siga funcionando aunque uno de ellos falle, la arquitectura incorpora un Service Registry (registro de servicios) y un Circuit Breaker (protección ante fallas). El Circuit Breaker se aplica puntualmente donde existe una dependencia síncrona real que podría fallar, como las consultas REST hacia Gestión de Funcionarios, y no sobre la comunicación por eventos, que ya está desacoplada por diseño.</w:t>
            </w:r>
          </w:p>
          <w:p w:rsidR="00000000" w:rsidDel="00000000" w:rsidP="00000000" w:rsidRDefault="00000000" w:rsidRPr="00000000" w14:paraId="00000037">
            <w:pPr>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En cuanto a seguridad, todas las comunicaciones se realizan mediante HTTPS, el acceso se valida con autenticación JWT (token), la autorización se aplica por roles (Funcionario y Administrador) y cada endpoint del API Gateway cuenta con su propio control de acceso.</w:t>
            </w:r>
            <w:r w:rsidDel="00000000" w:rsidR="00000000" w:rsidRPr="00000000">
              <w:rPr>
                <w:rFonts w:ascii="Aptos Narrow" w:cs="Aptos Narrow" w:eastAsia="Aptos Narrow" w:hAnsi="Aptos Narrow"/>
                <w:b w:val="1"/>
                <w:bCs w:val="1"/>
                <w:sz w:val="22"/>
                <w:szCs w:val="22"/>
                <w:rtl w:val="0"/>
              </w:rPr>
              <w:t xml:space="preserve"> </w:t>
            </w:r>
            <w:r w:rsidDel="00000000" w:rsidR="00000000" w:rsidRPr="00000000">
              <w:rPr>
                <w:rtl w:val="0"/>
              </w:rPr>
            </w:r>
          </w:p>
        </w:tc>
      </w:tr>
    </w:tbl>
    <w:p w:rsidR="00000000" w:rsidDel="00000000" w:rsidP="00000000" w:rsidRDefault="00000000" w:rsidRPr="00000000" w14:paraId="00000038">
      <w:pPr>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br w:type="textWrapping"/>
        <w:t xml:space="preserve">2. Enumera los microservicios identificados. </w:t>
      </w:r>
    </w:p>
    <w:p w:rsidR="00000000" w:rsidDel="00000000" w:rsidP="00000000" w:rsidRDefault="00000000" w:rsidRPr="00000000" w14:paraId="00000039">
      <w:pPr>
        <w:rPr>
          <w:rFonts w:ascii="Aptos Narrow" w:cs="Aptos Narrow" w:eastAsia="Aptos Narrow" w:hAnsi="Aptos Narrow"/>
          <w:sz w:val="22"/>
          <w:szCs w:val="22"/>
        </w:rPr>
      </w:pPr>
      <w:r w:rsidDel="00000000" w:rsidR="00000000" w:rsidRPr="00000000">
        <w:rPr>
          <w:rtl w:val="0"/>
        </w:rPr>
      </w:r>
    </w:p>
    <w:tbl>
      <w:tblPr>
        <w:tblStyle w:val="Table5"/>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p w:rsidR="00000000" w:rsidDel="00000000" w:rsidP="00000000" w:rsidRDefault="00000000" w:rsidRPr="00000000" w14:paraId="0000003A">
            <w:pPr>
              <w:rPr>
                <w:rFonts w:ascii="Arial" w:cs="Arial" w:eastAsia="Arial" w:hAnsi="Arial"/>
                <w:sz w:val="19"/>
                <w:szCs w:val="19"/>
              </w:rPr>
            </w:pPr>
            <w:r w:rsidDel="00000000" w:rsidR="00000000" w:rsidRPr="00000000">
              <w:rPr>
                <w:rFonts w:ascii="Arial" w:cs="Arial" w:eastAsia="Arial" w:hAnsi="Arial"/>
                <w:sz w:val="19"/>
                <w:szCs w:val="19"/>
                <w:rtl w:val="0"/>
              </w:rPr>
              <w:t xml:space="preserve">1. Gestión de Funcionarios: administra la información relativamente estable de cada trabajador, como nombre, foto, cargo, área, sector, horario habitual y contacto laboral.</w:t>
              <w:br w:type="textWrapping"/>
              <w:t xml:space="preserve"> 2. Presencia y Disponibilidad: muestra el estado actual del funcionario, por ejemplo en CESFAM, fuera o en terreno, y administra estados especiales como vacaciones, permisos, licencias o capacitación.</w:t>
              <w:br w:type="textWrapping"/>
              <w:t xml:space="preserve"> 3. Gestión de Estacionamiento: administra los vehículos registrados y las solicitudes cuando uno bloquea una salida.</w:t>
              <w:br w:type="textWrapping"/>
              <w:t xml:space="preserve"> 4. Notificaciones: envía los avisos a los funcionarios cuando algún otro módulo lo necesita.</w:t>
            </w:r>
          </w:p>
          <w:p w:rsidR="00000000" w:rsidDel="00000000" w:rsidP="00000000" w:rsidRDefault="00000000" w:rsidRPr="00000000" w14:paraId="0000003B">
            <w:pPr>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3C">
            <w:pPr>
              <w:rPr>
                <w:rFonts w:ascii="Arial" w:cs="Arial" w:eastAsia="Arial" w:hAnsi="Arial"/>
                <w:sz w:val="19"/>
                <w:szCs w:val="19"/>
              </w:rPr>
            </w:pPr>
            <w:r w:rsidDel="00000000" w:rsidR="00000000" w:rsidRPr="00000000">
              <w:rPr>
                <w:rFonts w:ascii="Arial" w:cs="Arial" w:eastAsia="Arial" w:hAnsi="Arial"/>
                <w:sz w:val="19"/>
                <w:szCs w:val="19"/>
                <w:rtl w:val="0"/>
              </w:rPr>
              <w:t xml:space="preserve">Cada uno de estos microservicios cuenta con su propia base de datos, independiente de la de los demás, siguiendo el principio de una base de datos por servicio.</w:t>
            </w:r>
          </w:p>
          <w:p w:rsidR="00000000" w:rsidDel="00000000" w:rsidP="00000000" w:rsidRDefault="00000000" w:rsidRPr="00000000" w14:paraId="0000003D">
            <w:pPr>
              <w:rPr>
                <w:rFonts w:ascii="Arial" w:cs="Arial" w:eastAsia="Arial" w:hAnsi="Arial"/>
                <w:sz w:val="19"/>
                <w:szCs w:val="19"/>
              </w:rPr>
            </w:pPr>
            <w:r w:rsidDel="00000000" w:rsidR="00000000" w:rsidRPr="00000000">
              <w:rPr>
                <w:rFonts w:ascii="Arial" w:cs="Arial" w:eastAsia="Arial" w:hAnsi="Arial"/>
                <w:sz w:val="19"/>
                <w:szCs w:val="19"/>
                <w:rtl w:val="0"/>
              </w:rPr>
              <w:t xml:space="preserve">Las consultas que necesitan una respuesta inmediata se resuelven mediante REST/HTTPS (por ejemplo, Estacionamiento consultando en Gestión de Funcionarios quién es el dueño de un vehículo). Los avisos que no requieren una respuesta inmediata se comunican mediante eventos a través de una cola de mensajes (Event Bus), evitando que los microservicios se llamen directamente entre sí.</w:t>
            </w:r>
            <w:r w:rsidDel="00000000" w:rsidR="00000000" w:rsidRPr="00000000">
              <w:rPr>
                <w:rFonts w:ascii="Aptos Narrow" w:cs="Aptos Narrow" w:eastAsia="Aptos Narrow" w:hAnsi="Aptos Narrow"/>
                <w:sz w:val="22"/>
                <w:szCs w:val="22"/>
                <w:rtl w:val="0"/>
              </w:rPr>
              <w:t xml:space="preserve"> </w:t>
            </w:r>
            <w:r w:rsidDel="00000000" w:rsidR="00000000" w:rsidRPr="00000000">
              <w:rPr>
                <w:rtl w:val="0"/>
              </w:rPr>
            </w:r>
          </w:p>
        </w:tc>
      </w:tr>
    </w:tbl>
    <w:p w:rsidR="00000000" w:rsidDel="00000000" w:rsidP="00000000" w:rsidRDefault="00000000" w:rsidRPr="00000000" w14:paraId="0000003E">
      <w:pPr>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sz w:val="22"/>
          <w:szCs w:val="22"/>
          <w:rtl w:val="0"/>
        </w:rPr>
        <w:br w:type="textWrapping"/>
      </w:r>
      <w:r w:rsidDel="00000000" w:rsidR="00000000" w:rsidRPr="00000000">
        <w:rPr>
          <w:rtl w:val="0"/>
        </w:rPr>
      </w:r>
    </w:p>
    <w:p w:rsidR="00000000" w:rsidDel="00000000" w:rsidP="00000000" w:rsidRDefault="00000000" w:rsidRPr="00000000" w14:paraId="0000003F">
      <w:pPr>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3. Para cada microservicio, completa la siguiente ficha con su información correspondiente.</w:t>
        <w:br w:type="textWrapping"/>
        <w:t xml:space="preserve"> </w:t>
      </w:r>
    </w:p>
    <w:p w:rsidR="00000000" w:rsidDel="00000000" w:rsidP="00000000" w:rsidRDefault="00000000" w:rsidRPr="00000000" w14:paraId="00000040">
      <w:pPr>
        <w:spacing w:after="100" w:before="20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Ficha 1</w:t>
      </w:r>
    </w:p>
    <w:tbl>
      <w:tblPr>
        <w:tblStyle w:val="Table6"/>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
        <w:gridCol w:w="6585"/>
        <w:tblGridChange w:id="0">
          <w:tblGrid>
            <w:gridCol w:w="2745"/>
            <w:gridCol w:w="6585"/>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41">
            <w:pP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Nombre del microservicio</w:t>
            </w:r>
          </w:p>
        </w:tc>
        <w:tc>
          <w:tcPr>
            <w:tcBorders>
              <w:top w:color="000000" w:space="0" w:sz="6" w:val="single"/>
              <w:left w:color="000000" w:space="0" w:sz="0" w:val="nil"/>
              <w:bottom w:color="000000" w:space="0" w:sz="6" w:val="single"/>
              <w:right w:color="000000" w:space="0" w:sz="6" w:val="single"/>
            </w:tcBorders>
            <w:tcMar>
              <w:top w:w="120.0" w:type="dxa"/>
              <w:left w:w="160.0" w:type="dxa"/>
              <w:bottom w:w="120.0" w:type="dxa"/>
              <w:right w:w="160.0" w:type="dxa"/>
            </w:tcMar>
            <w:vAlign w:val="top"/>
          </w:tcPr>
          <w:p w:rsidR="00000000" w:rsidDel="00000000" w:rsidP="00000000" w:rsidRDefault="00000000" w:rsidRPr="00000000" w14:paraId="00000042">
            <w:pP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Gestión de Funcionarios</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43">
            <w:pP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Propósito general</w:t>
            </w:r>
          </w:p>
        </w:tc>
        <w:tc>
          <w:tcPr>
            <w:tcBorders>
              <w:top w:color="000000" w:space="0" w:sz="0" w:val="nil"/>
              <w:left w:color="000000" w:space="0" w:sz="0" w:val="nil"/>
              <w:bottom w:color="000000" w:space="0" w:sz="6" w:val="single"/>
              <w:right w:color="000000" w:space="0" w:sz="6" w:val="single"/>
            </w:tcBorders>
            <w:tcMar>
              <w:top w:w="120.0" w:type="dxa"/>
              <w:left w:w="160.0" w:type="dxa"/>
              <w:bottom w:w="120.0" w:type="dxa"/>
              <w:right w:w="160.0" w:type="dxa"/>
            </w:tcMar>
            <w:vAlign w:val="top"/>
          </w:tcPr>
          <w:p w:rsidR="00000000" w:rsidDel="00000000" w:rsidP="00000000" w:rsidRDefault="00000000" w:rsidRPr="00000000" w14:paraId="00000044">
            <w:pP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Guardar y organizar la información personal y laboral básica de cada funcionario del CESFAM, para que los trabajadores puedan encontrar e identificar fácilmente a sus compañeros.</w:t>
            </w:r>
          </w:p>
          <w:p w:rsidR="00000000" w:rsidDel="00000000" w:rsidP="00000000" w:rsidRDefault="00000000" w:rsidRPr="00000000" w14:paraId="00000045">
            <w:pPr>
              <w:rPr>
                <w:rFonts w:ascii="Arial" w:cs="Arial" w:eastAsia="Arial" w:hAnsi="Arial"/>
                <w:b w:val="1"/>
                <w:bCs w:val="1"/>
                <w:i w:val="1"/>
                <w:iCs w:val="1"/>
                <w:sz w:val="19"/>
                <w:szCs w:val="19"/>
              </w:rPr>
            </w:pPr>
            <w:r w:rsidDel="00000000" w:rsidR="00000000" w:rsidRPr="00000000">
              <w:rPr>
                <w:rFonts w:ascii="Arial" w:cs="Arial" w:eastAsia="Arial" w:hAnsi="Arial"/>
                <w:b w:val="1"/>
                <w:bCs w:val="1"/>
                <w:i w:val="1"/>
                <w:iCs w:val="1"/>
                <w:sz w:val="19"/>
                <w:szCs w:val="19"/>
                <w:rtl w:val="0"/>
              </w:rPr>
              <w:t xml:space="preserve">Base de datos propia: BD Gestión de Funcionarios.</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46">
            <w:pP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Funciones clave (al menos 2–3)</w:t>
            </w:r>
          </w:p>
        </w:tc>
        <w:tc>
          <w:tcPr>
            <w:tcBorders>
              <w:top w:color="000000" w:space="0" w:sz="0" w:val="nil"/>
              <w:left w:color="000000" w:space="0" w:sz="0" w:val="nil"/>
              <w:bottom w:color="000000" w:space="0" w:sz="6" w:val="single"/>
              <w:right w:color="000000" w:space="0" w:sz="6" w:val="single"/>
            </w:tcBorders>
            <w:tcMar>
              <w:top w:w="120.0" w:type="dxa"/>
              <w:left w:w="160.0" w:type="dxa"/>
              <w:bottom w:w="120.0" w:type="dxa"/>
              <w:right w:w="160.0" w:type="dxa"/>
            </w:tcMar>
            <w:vAlign w:val="top"/>
          </w:tcPr>
          <w:p w:rsidR="00000000" w:rsidDel="00000000" w:rsidP="00000000" w:rsidRDefault="00000000" w:rsidRPr="00000000" w14:paraId="00000047">
            <w:pP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 Registrar y actualizar el perfil del funcionario (nombre, foto, cargo, área, sector, horario habitual y contacto laboral)</w:t>
              <w:br w:type="textWrapping"/>
              <w:t xml:space="preserve"> - Buscar a un funcionario por nombre, profesión, unidad o sector</w:t>
              <w:br w:type="textWrapping"/>
              <w:t xml:space="preserve"> - Mostrar la ficha del funcionario con su información laboral</w:t>
            </w:r>
          </w:p>
        </w:tc>
      </w:tr>
      <w:tr>
        <w:trPr>
          <w:cantSplit w:val="0"/>
          <w:trHeight w:val="156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48">
            <w:pP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Interacciones con otros microservicios</w:t>
            </w:r>
          </w:p>
        </w:tc>
        <w:tc>
          <w:tcPr>
            <w:tcBorders>
              <w:top w:color="000000" w:space="0" w:sz="0" w:val="nil"/>
              <w:left w:color="000000" w:space="0" w:sz="0" w:val="nil"/>
              <w:bottom w:color="000000" w:space="0" w:sz="6" w:val="single"/>
              <w:right w:color="000000" w:space="0" w:sz="6" w:val="single"/>
            </w:tcBorders>
            <w:tcMar>
              <w:top w:w="120.0" w:type="dxa"/>
              <w:left w:w="160.0" w:type="dxa"/>
              <w:bottom w:w="120.0" w:type="dxa"/>
              <w:right w:w="160.0" w:type="dxa"/>
            </w:tcMar>
            <w:vAlign w:val="top"/>
          </w:tcPr>
          <w:p w:rsidR="00000000" w:rsidDel="00000000" w:rsidP="00000000" w:rsidRDefault="00000000" w:rsidRPr="00000000" w14:paraId="00000049">
            <w:pP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Expone su información mediante REST/HTTPS para que otros microservicios la consulten cuando la necesiten: Gestión de Estacionamiento la consulta para identificar al propietario de un vehículo y Notificaciones la consulta para obtener el contacto del funcionario que recibirá un aviso. Este microservicio no llama directamente a los demás, y se registra en el Service Registry para que puedan encontrarlo.</w:t>
            </w:r>
          </w:p>
        </w:tc>
      </w:tr>
      <w:tr>
        <w:trPr>
          <w:cantSplit w:val="0"/>
          <w:trHeight w:val="199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4A">
            <w:pP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Justificación del aislamiento del servicio</w:t>
            </w:r>
          </w:p>
        </w:tc>
        <w:tc>
          <w:tcPr>
            <w:tcBorders>
              <w:top w:color="000000" w:space="0" w:sz="0" w:val="nil"/>
              <w:left w:color="000000" w:space="0" w:sz="0" w:val="nil"/>
              <w:bottom w:color="000000" w:space="0" w:sz="6" w:val="single"/>
              <w:right w:color="000000" w:space="0" w:sz="6" w:val="single"/>
            </w:tcBorders>
            <w:tcMar>
              <w:top w:w="120.0" w:type="dxa"/>
              <w:left w:w="160.0" w:type="dxa"/>
              <w:bottom w:w="120.0" w:type="dxa"/>
              <w:right w:w="160.0" w:type="dxa"/>
            </w:tcMar>
            <w:vAlign w:val="top"/>
          </w:tcPr>
          <w:p w:rsidR="00000000" w:rsidDel="00000000" w:rsidP="00000000" w:rsidRDefault="00000000" w:rsidRPr="00000000" w14:paraId="0000004B">
            <w:pP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Este microservicio administra información relativamente estable del funcionario. El horario almacenado corresponde a su horario habitual de trabajo y no al registro de asistencia o presencia. Por eso cuenta con su propia base de datos, independiente de la de los demás microservicios, lo que permite modificar los perfiles sin afectar los estados de disponibilidad, el estacionamiento o las notificaciones. Al estar registrado en el Service Registry, otros microservicios pueden encontrarlo sin depender de una dirección fija.</w:t>
            </w:r>
          </w:p>
        </w:tc>
      </w:tr>
    </w:tbl>
    <w:p w:rsidR="00000000" w:rsidDel="00000000" w:rsidP="00000000" w:rsidRDefault="00000000" w:rsidRPr="00000000" w14:paraId="0000004C">
      <w:pPr>
        <w:spacing w:after="100" w:before="30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Ficha 2</w:t>
      </w:r>
    </w:p>
    <w:tbl>
      <w:tblPr>
        <w:tblStyle w:val="Table7"/>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6600"/>
        <w:tblGridChange w:id="0">
          <w:tblGrid>
            <w:gridCol w:w="2730"/>
            <w:gridCol w:w="6600"/>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4D">
            <w:pP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Nombre del microservicio</w:t>
            </w:r>
          </w:p>
        </w:tc>
        <w:tc>
          <w:tcPr>
            <w:tcBorders>
              <w:top w:color="000000" w:space="0" w:sz="6" w:val="single"/>
              <w:left w:color="000000" w:space="0" w:sz="0" w:val="nil"/>
              <w:bottom w:color="000000" w:space="0" w:sz="6" w:val="single"/>
              <w:right w:color="000000" w:space="0" w:sz="6" w:val="single"/>
            </w:tcBorders>
            <w:tcMar>
              <w:top w:w="120.0" w:type="dxa"/>
              <w:left w:w="160.0" w:type="dxa"/>
              <w:bottom w:w="120.0" w:type="dxa"/>
              <w:right w:w="160.0" w:type="dxa"/>
            </w:tcMar>
            <w:vAlign w:val="top"/>
          </w:tcPr>
          <w:p w:rsidR="00000000" w:rsidDel="00000000" w:rsidP="00000000" w:rsidRDefault="00000000" w:rsidRPr="00000000" w14:paraId="0000004E">
            <w:pP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Presencia y Disponibilidad</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4F">
            <w:pP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Propósito general</w:t>
            </w:r>
          </w:p>
        </w:tc>
        <w:tc>
          <w:tcPr>
            <w:tcBorders>
              <w:top w:color="000000" w:space="0" w:sz="0" w:val="nil"/>
              <w:left w:color="000000" w:space="0" w:sz="0" w:val="nil"/>
              <w:bottom w:color="000000" w:space="0" w:sz="6" w:val="single"/>
              <w:right w:color="000000" w:space="0" w:sz="6" w:val="single"/>
            </w:tcBorders>
            <w:tcMar>
              <w:top w:w="120.0" w:type="dxa"/>
              <w:left w:w="160.0" w:type="dxa"/>
              <w:bottom w:w="120.0" w:type="dxa"/>
              <w:right w:w="160.0" w:type="dxa"/>
            </w:tcMar>
            <w:vAlign w:val="top"/>
          </w:tcPr>
          <w:p w:rsidR="00000000" w:rsidDel="00000000" w:rsidP="00000000" w:rsidRDefault="00000000" w:rsidRPr="00000000" w14:paraId="00000050">
            <w:pP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Administrar el estado actual de disponibilidad de los funcionarios para permitir conocer si se encuentran en el CESFAM, fuera del establecimiento, en terreno o en alguna situación especial.</w:t>
            </w:r>
          </w:p>
          <w:p w:rsidR="00000000" w:rsidDel="00000000" w:rsidP="00000000" w:rsidRDefault="00000000" w:rsidRPr="00000000" w14:paraId="00000051">
            <w:pPr>
              <w:rPr>
                <w:rFonts w:ascii="Arial" w:cs="Arial" w:eastAsia="Arial" w:hAnsi="Arial"/>
                <w:b w:val="1"/>
                <w:bCs w:val="1"/>
                <w:i w:val="1"/>
                <w:iCs w:val="1"/>
                <w:sz w:val="19"/>
                <w:szCs w:val="19"/>
              </w:rPr>
            </w:pPr>
            <w:r w:rsidDel="00000000" w:rsidR="00000000" w:rsidRPr="00000000">
              <w:rPr>
                <w:rFonts w:ascii="Arial" w:cs="Arial" w:eastAsia="Arial" w:hAnsi="Arial"/>
                <w:b w:val="1"/>
                <w:bCs w:val="1"/>
                <w:i w:val="1"/>
                <w:iCs w:val="1"/>
                <w:sz w:val="19"/>
                <w:szCs w:val="19"/>
                <w:rtl w:val="0"/>
              </w:rPr>
              <w:t xml:space="preserve">Base de datos propia: BD Presencia y Disponibilidad.</w:t>
            </w:r>
          </w:p>
        </w:tc>
      </w:tr>
      <w:tr>
        <w:trPr>
          <w:cantSplit w:val="0"/>
          <w:trHeight w:val="199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52">
            <w:pP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Funciones clave (al menos 2–3)</w:t>
            </w:r>
          </w:p>
        </w:tc>
        <w:tc>
          <w:tcPr>
            <w:tcBorders>
              <w:top w:color="000000" w:space="0" w:sz="0" w:val="nil"/>
              <w:left w:color="000000" w:space="0" w:sz="0" w:val="nil"/>
              <w:bottom w:color="000000" w:space="0" w:sz="6" w:val="single"/>
              <w:right w:color="000000" w:space="0" w:sz="6" w:val="single"/>
            </w:tcBorders>
            <w:tcMar>
              <w:top w:w="120.0" w:type="dxa"/>
              <w:left w:w="160.0" w:type="dxa"/>
              <w:bottom w:w="120.0" w:type="dxa"/>
              <w:right w:w="160.0" w:type="dxa"/>
            </w:tcMar>
            <w:vAlign w:val="top"/>
          </w:tcPr>
          <w:p w:rsidR="00000000" w:rsidDel="00000000" w:rsidP="00000000" w:rsidRDefault="00000000" w:rsidRPr="00000000" w14:paraId="00000053">
            <w:pP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 Registrar y consultar el estado actual del funcionario (en CESFAM, fuera o en terreno)</w:t>
              <w:br w:type="textWrapping"/>
              <w:t xml:space="preserve"> - Registrar estados especiales como vacaciones, permiso, licencia o capacitación</w:t>
              <w:br w:type="textWrapping"/>
              <w:t xml:space="preserve"> - Permitir que un administrador actualice estados excepcionales</w:t>
              <w:br w:type="textWrapping"/>
              <w:t xml:space="preserve"> - Como futura implementación, recibir información proveniente del sistema de marcación biométrica para actualizar automáticamente el estado en CESFAM/fuera</w:t>
            </w:r>
          </w:p>
        </w:tc>
      </w:tr>
      <w:tr>
        <w:trPr>
          <w:cantSplit w:val="0"/>
          <w:trHeight w:val="178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54">
            <w:pP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Interacciones con otros microservicios</w:t>
            </w:r>
          </w:p>
        </w:tc>
        <w:tc>
          <w:tcPr>
            <w:tcBorders>
              <w:top w:color="000000" w:space="0" w:sz="0" w:val="nil"/>
              <w:left w:color="000000" w:space="0" w:sz="0" w:val="nil"/>
              <w:bottom w:color="000000" w:space="0" w:sz="6" w:val="single"/>
              <w:right w:color="000000" w:space="0" w:sz="6" w:val="single"/>
            </w:tcBorders>
            <w:tcMar>
              <w:top w:w="120.0" w:type="dxa"/>
              <w:left w:w="160.0" w:type="dxa"/>
              <w:bottom w:w="120.0" w:type="dxa"/>
              <w:right w:w="160.0" w:type="dxa"/>
            </w:tcMar>
            <w:vAlign w:val="top"/>
          </w:tcPr>
          <w:p w:rsidR="00000000" w:rsidDel="00000000" w:rsidP="00000000" w:rsidRDefault="00000000" w:rsidRPr="00000000" w14:paraId="00000055">
            <w:pP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No consulta a otros microservicios. Cada vez que cambia el estado de un funcionario, publica el evento DisponibilidadActualizada en la cola de mensajes (Event Bus), para que quien lo necesite pueda reaccionar sin depender de una llamada directa. Como futura implementación, se conectará directamente con el reloj biométrico (ZKTeco LP500) a través del sistema de asistencia actual, por ser el microservicio responsable de esta información.</w:t>
            </w:r>
          </w:p>
        </w:tc>
      </w:tr>
      <w:tr>
        <w:trPr>
          <w:cantSplit w:val="0"/>
          <w:trHeight w:val="156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56">
            <w:pP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Justificación del aislamiento del servicio</w:t>
            </w:r>
          </w:p>
        </w:tc>
        <w:tc>
          <w:tcPr>
            <w:tcBorders>
              <w:top w:color="000000" w:space="0" w:sz="0" w:val="nil"/>
              <w:left w:color="000000" w:space="0" w:sz="0" w:val="nil"/>
              <w:bottom w:color="000000" w:space="0" w:sz="6" w:val="single"/>
              <w:right w:color="000000" w:space="0" w:sz="6" w:val="single"/>
            </w:tcBorders>
            <w:tcMar>
              <w:top w:w="120.0" w:type="dxa"/>
              <w:left w:w="160.0" w:type="dxa"/>
              <w:bottom w:w="120.0" w:type="dxa"/>
              <w:right w:w="160.0" w:type="dxa"/>
            </w:tcMar>
            <w:vAlign w:val="top"/>
          </w:tcPr>
          <w:p w:rsidR="00000000" w:rsidDel="00000000" w:rsidP="00000000" w:rsidRDefault="00000000" w:rsidRPr="00000000" w14:paraId="00000057">
            <w:pP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Se mantiene separado porque administra información dinámica que puede cambiar durante la jornada, a diferencia de los datos del perfil del funcionario. Al contar con su propia base de datos, los cambios de estado se procesan de forma independiente, lo que también facilita incorporar en el futuro la integración con el sistema biométrico sin modificar el microservicio encargado de los perfiles.</w:t>
            </w:r>
          </w:p>
        </w:tc>
      </w:tr>
    </w:tbl>
    <w:p w:rsidR="00000000" w:rsidDel="00000000" w:rsidP="00000000" w:rsidRDefault="00000000" w:rsidRPr="00000000" w14:paraId="00000058">
      <w:pPr>
        <w:spacing w:after="100" w:before="30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Ficha 3</w:t>
      </w:r>
    </w:p>
    <w:tbl>
      <w:tblPr>
        <w:tblStyle w:val="Table8"/>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6600"/>
        <w:tblGridChange w:id="0">
          <w:tblGrid>
            <w:gridCol w:w="2730"/>
            <w:gridCol w:w="6600"/>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59">
            <w:pP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Nombre del microservicio</w:t>
            </w:r>
          </w:p>
        </w:tc>
        <w:tc>
          <w:tcPr>
            <w:tcBorders>
              <w:top w:color="000000" w:space="0" w:sz="6" w:val="single"/>
              <w:left w:color="000000" w:space="0" w:sz="0" w:val="nil"/>
              <w:bottom w:color="000000" w:space="0" w:sz="6" w:val="single"/>
              <w:right w:color="000000" w:space="0" w:sz="6" w:val="single"/>
            </w:tcBorders>
            <w:tcMar>
              <w:top w:w="120.0" w:type="dxa"/>
              <w:left w:w="160.0" w:type="dxa"/>
              <w:bottom w:w="120.0" w:type="dxa"/>
              <w:right w:w="160.0" w:type="dxa"/>
            </w:tcMar>
            <w:vAlign w:val="top"/>
          </w:tcPr>
          <w:p w:rsidR="00000000" w:rsidDel="00000000" w:rsidP="00000000" w:rsidRDefault="00000000" w:rsidRPr="00000000" w14:paraId="0000005A">
            <w:pPr>
              <w:spacing w:after="60" w:lineRule="auto"/>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Gestión de Estacionamiento</w:t>
            </w:r>
          </w:p>
        </w:tc>
      </w:tr>
      <w:tr>
        <w:trPr>
          <w:cantSplit w:val="0"/>
          <w:trHeight w:val="118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5B">
            <w:pP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Propósito general</w:t>
            </w:r>
          </w:p>
        </w:tc>
        <w:tc>
          <w:tcPr>
            <w:tcBorders>
              <w:top w:color="000000" w:space="0" w:sz="0" w:val="nil"/>
              <w:left w:color="000000" w:space="0" w:sz="0" w:val="nil"/>
              <w:bottom w:color="000000" w:space="0" w:sz="6" w:val="single"/>
              <w:right w:color="000000" w:space="0" w:sz="6" w:val="single"/>
            </w:tcBorders>
            <w:tcMar>
              <w:top w:w="120.0" w:type="dxa"/>
              <w:left w:w="160.0" w:type="dxa"/>
              <w:bottom w:w="120.0" w:type="dxa"/>
              <w:right w:w="160.0" w:type="dxa"/>
            </w:tcMar>
            <w:vAlign w:val="top"/>
          </w:tcPr>
          <w:p w:rsidR="00000000" w:rsidDel="00000000" w:rsidP="00000000" w:rsidRDefault="00000000" w:rsidRPr="00000000" w14:paraId="0000005C">
            <w:pPr>
              <w:spacing w:after="60" w:lineRule="auto"/>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Administrar los vehículos que los funcionarios registran y ayudar a encontrar rápidamente al dueño de un auto que está bloqueando una salida.</w:t>
            </w:r>
          </w:p>
          <w:p w:rsidR="00000000" w:rsidDel="00000000" w:rsidP="00000000" w:rsidRDefault="00000000" w:rsidRPr="00000000" w14:paraId="0000005D">
            <w:pPr>
              <w:rPr>
                <w:rFonts w:ascii="Arial" w:cs="Arial" w:eastAsia="Arial" w:hAnsi="Arial"/>
                <w:b w:val="1"/>
                <w:bCs w:val="1"/>
                <w:i w:val="1"/>
                <w:iCs w:val="1"/>
                <w:sz w:val="19"/>
                <w:szCs w:val="19"/>
              </w:rPr>
            </w:pPr>
            <w:r w:rsidDel="00000000" w:rsidR="00000000" w:rsidRPr="00000000">
              <w:rPr>
                <w:rFonts w:ascii="Arial" w:cs="Arial" w:eastAsia="Arial" w:hAnsi="Arial"/>
                <w:b w:val="1"/>
                <w:bCs w:val="1"/>
                <w:i w:val="1"/>
                <w:iCs w:val="1"/>
                <w:sz w:val="19"/>
                <w:szCs w:val="19"/>
                <w:rtl w:val="0"/>
              </w:rPr>
              <w:t xml:space="preserve">Base de datos propia: BD Estacionamiento.</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5E">
            <w:pP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Funciones clave (al menos 2–3)</w:t>
            </w:r>
          </w:p>
        </w:tc>
        <w:tc>
          <w:tcPr>
            <w:tcBorders>
              <w:top w:color="000000" w:space="0" w:sz="0" w:val="nil"/>
              <w:left w:color="000000" w:space="0" w:sz="0" w:val="nil"/>
              <w:bottom w:color="000000" w:space="0" w:sz="6" w:val="single"/>
              <w:right w:color="000000" w:space="0" w:sz="6" w:val="single"/>
            </w:tcBorders>
            <w:tcMar>
              <w:top w:w="120.0" w:type="dxa"/>
              <w:left w:w="160.0" w:type="dxa"/>
              <w:bottom w:w="120.0" w:type="dxa"/>
              <w:right w:w="160.0" w:type="dxa"/>
            </w:tcMar>
            <w:vAlign w:val="top"/>
          </w:tcPr>
          <w:p w:rsidR="00000000" w:rsidDel="00000000" w:rsidP="00000000" w:rsidRDefault="00000000" w:rsidRPr="00000000" w14:paraId="0000005F">
            <w:pPr>
              <w:spacing w:after="60" w:lineRule="auto"/>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 Registrar un vehículo asociado a un funcionario (patente, foto, modelo)</w:t>
            </w:r>
          </w:p>
          <w:p w:rsidR="00000000" w:rsidDel="00000000" w:rsidP="00000000" w:rsidRDefault="00000000" w:rsidRPr="00000000" w14:paraId="00000060">
            <w:pPr>
              <w:spacing w:after="60" w:lineRule="auto"/>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 Buscar al dueño de un vehículo a partir de su patente</w:t>
            </w:r>
          </w:p>
          <w:p w:rsidR="00000000" w:rsidDel="00000000" w:rsidP="00000000" w:rsidRDefault="00000000" w:rsidRPr="00000000" w14:paraId="00000061">
            <w:pPr>
              <w:spacing w:after="60" w:lineRule="auto"/>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 Generar una solicitud para pedirle al dueño que mueva su vehículo</w:t>
            </w:r>
          </w:p>
        </w:tc>
      </w:tr>
      <w:tr>
        <w:trPr>
          <w:cantSplit w:val="0"/>
          <w:trHeight w:val="156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62">
            <w:pP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Interacciones con otros microservicios</w:t>
            </w:r>
          </w:p>
        </w:tc>
        <w:tc>
          <w:tcPr>
            <w:tcBorders>
              <w:top w:color="000000" w:space="0" w:sz="0" w:val="nil"/>
              <w:left w:color="000000" w:space="0" w:sz="0" w:val="nil"/>
              <w:bottom w:color="000000" w:space="0" w:sz="6" w:val="single"/>
              <w:right w:color="000000" w:space="0" w:sz="6" w:val="single"/>
            </w:tcBorders>
            <w:tcMar>
              <w:top w:w="120.0" w:type="dxa"/>
              <w:left w:w="160.0" w:type="dxa"/>
              <w:bottom w:w="120.0" w:type="dxa"/>
              <w:right w:w="160.0" w:type="dxa"/>
            </w:tcMar>
            <w:vAlign w:val="top"/>
          </w:tcPr>
          <w:p w:rsidR="00000000" w:rsidDel="00000000" w:rsidP="00000000" w:rsidRDefault="00000000" w:rsidRPr="00000000" w14:paraId="00000063">
            <w:pP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Consulta a Gestión de Funcionarios mediante REST/HTTPS para identificar al propietario de un vehículo a partir de su patente, protegida con Circuit Breaker por ser una dependencia síncrona real. Al registrar un vehículo o generar una solicitud para moverlo, publica los eventos VehiculoRegistrado y SolicitudMoverVehiculo en la cola de mensajes, en vez de llamar directamente a Notificaciones.</w:t>
            </w:r>
          </w:p>
        </w:tc>
      </w:tr>
      <w:tr>
        <w:trPr>
          <w:cantSplit w:val="0"/>
          <w:trHeight w:val="162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64">
            <w:pP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Justificación del aislamiento del servicio</w:t>
            </w:r>
          </w:p>
        </w:tc>
        <w:tc>
          <w:tcPr>
            <w:tcBorders>
              <w:top w:color="000000" w:space="0" w:sz="0" w:val="nil"/>
              <w:left w:color="000000" w:space="0" w:sz="0" w:val="nil"/>
              <w:bottom w:color="000000" w:space="0" w:sz="6" w:val="single"/>
              <w:right w:color="000000" w:space="0" w:sz="6" w:val="single"/>
            </w:tcBorders>
            <w:tcMar>
              <w:top w:w="120.0" w:type="dxa"/>
              <w:left w:w="160.0" w:type="dxa"/>
              <w:bottom w:w="120.0" w:type="dxa"/>
              <w:right w:w="160.0" w:type="dxa"/>
            </w:tcMar>
            <w:vAlign w:val="top"/>
          </w:tcPr>
          <w:p w:rsidR="00000000" w:rsidDel="00000000" w:rsidP="00000000" w:rsidRDefault="00000000" w:rsidRPr="00000000" w14:paraId="00000065">
            <w:pPr>
              <w:spacing w:after="60" w:lineRule="auto"/>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Separar este módulo, junto con su propia base de datos, evita mezclar los datos del estacionamiento con la información personal o de presencia de los funcionarios, y permite mejorarlo de forma independiente sin afectar a los demás servicios. La consulta síncrona a Gestión de Funcionarios está protegida con Circuit Breaker, de modo que una falla en ese servicio no bloquea por completo la gestión del estacionamiento.</w:t>
            </w:r>
          </w:p>
        </w:tc>
      </w:tr>
    </w:tbl>
    <w:p w:rsidR="00000000" w:rsidDel="00000000" w:rsidP="00000000" w:rsidRDefault="00000000" w:rsidRPr="00000000" w14:paraId="00000066">
      <w:pPr>
        <w:spacing w:after="100" w:before="300" w:lineRule="auto"/>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Ficha 4</w:t>
      </w:r>
    </w:p>
    <w:tbl>
      <w:tblPr>
        <w:tblStyle w:val="Table9"/>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6600"/>
        <w:tblGridChange w:id="0">
          <w:tblGrid>
            <w:gridCol w:w="2730"/>
            <w:gridCol w:w="6600"/>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67">
            <w:pP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Nombre del microservicio</w:t>
            </w:r>
          </w:p>
        </w:tc>
        <w:tc>
          <w:tcPr>
            <w:tcBorders>
              <w:top w:color="000000" w:space="0" w:sz="6" w:val="single"/>
              <w:left w:color="000000" w:space="0" w:sz="0" w:val="nil"/>
              <w:bottom w:color="000000" w:space="0" w:sz="6" w:val="single"/>
              <w:right w:color="000000" w:space="0" w:sz="6" w:val="single"/>
            </w:tcBorders>
            <w:tcMar>
              <w:top w:w="120.0" w:type="dxa"/>
              <w:left w:w="160.0" w:type="dxa"/>
              <w:bottom w:w="120.0" w:type="dxa"/>
              <w:right w:w="160.0" w:type="dxa"/>
            </w:tcMar>
            <w:vAlign w:val="top"/>
          </w:tcPr>
          <w:p w:rsidR="00000000" w:rsidDel="00000000" w:rsidP="00000000" w:rsidRDefault="00000000" w:rsidRPr="00000000" w14:paraId="00000068">
            <w:pPr>
              <w:spacing w:after="60" w:lineRule="auto"/>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Notificaciones</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69">
            <w:pP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Propósito general</w:t>
            </w:r>
          </w:p>
        </w:tc>
        <w:tc>
          <w:tcPr>
            <w:tcBorders>
              <w:top w:color="000000" w:space="0" w:sz="0" w:val="nil"/>
              <w:left w:color="000000" w:space="0" w:sz="0" w:val="nil"/>
              <w:bottom w:color="000000" w:space="0" w:sz="6" w:val="single"/>
              <w:right w:color="000000" w:space="0" w:sz="6" w:val="single"/>
            </w:tcBorders>
            <w:tcMar>
              <w:top w:w="120.0" w:type="dxa"/>
              <w:left w:w="160.0" w:type="dxa"/>
              <w:bottom w:w="120.0" w:type="dxa"/>
              <w:right w:w="160.0" w:type="dxa"/>
            </w:tcMar>
            <w:vAlign w:val="top"/>
          </w:tcPr>
          <w:p w:rsidR="00000000" w:rsidDel="00000000" w:rsidP="00000000" w:rsidRDefault="00000000" w:rsidRPr="00000000" w14:paraId="0000006A">
            <w:pPr>
              <w:spacing w:after="60" w:lineRule="auto"/>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Enviar avisos a los funcionarios cada vez que otro módulo de la aplicación lo necesite, por ejemplo cuando alguien debe mover su vehículo.</w:t>
            </w:r>
          </w:p>
          <w:p w:rsidR="00000000" w:rsidDel="00000000" w:rsidP="00000000" w:rsidRDefault="00000000" w:rsidRPr="00000000" w14:paraId="0000006B">
            <w:pPr>
              <w:rPr>
                <w:rFonts w:ascii="Arial" w:cs="Arial" w:eastAsia="Arial" w:hAnsi="Arial"/>
                <w:b w:val="1"/>
                <w:bCs w:val="1"/>
                <w:i w:val="1"/>
                <w:iCs w:val="1"/>
                <w:sz w:val="19"/>
                <w:szCs w:val="19"/>
              </w:rPr>
            </w:pPr>
            <w:r w:rsidDel="00000000" w:rsidR="00000000" w:rsidRPr="00000000">
              <w:rPr>
                <w:rFonts w:ascii="Arial" w:cs="Arial" w:eastAsia="Arial" w:hAnsi="Arial"/>
                <w:b w:val="1"/>
                <w:bCs w:val="1"/>
                <w:i w:val="1"/>
                <w:iCs w:val="1"/>
                <w:sz w:val="19"/>
                <w:szCs w:val="19"/>
                <w:rtl w:val="0"/>
              </w:rPr>
              <w:t xml:space="preserve">Base de datos propia: BD Notificaciones.</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6C">
            <w:pP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Funciones clave (al menos 2–3)</w:t>
            </w:r>
          </w:p>
        </w:tc>
        <w:tc>
          <w:tcPr>
            <w:tcBorders>
              <w:top w:color="000000" w:space="0" w:sz="0" w:val="nil"/>
              <w:left w:color="000000" w:space="0" w:sz="0" w:val="nil"/>
              <w:bottom w:color="000000" w:space="0" w:sz="6" w:val="single"/>
              <w:right w:color="000000" w:space="0" w:sz="6" w:val="single"/>
            </w:tcBorders>
            <w:tcMar>
              <w:top w:w="120.0" w:type="dxa"/>
              <w:left w:w="160.0" w:type="dxa"/>
              <w:bottom w:w="120.0" w:type="dxa"/>
              <w:right w:w="160.0" w:type="dxa"/>
            </w:tcMar>
            <w:vAlign w:val="top"/>
          </w:tcPr>
          <w:p w:rsidR="00000000" w:rsidDel="00000000" w:rsidP="00000000" w:rsidRDefault="00000000" w:rsidRPr="00000000" w14:paraId="0000006D">
            <w:pPr>
              <w:spacing w:after="60" w:lineRule="auto"/>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 Recibir la solicitud de aviso desde otro microservicio (como Estacionamiento)</w:t>
            </w:r>
          </w:p>
          <w:p w:rsidR="00000000" w:rsidDel="00000000" w:rsidP="00000000" w:rsidRDefault="00000000" w:rsidRPr="00000000" w14:paraId="0000006E">
            <w:pPr>
              <w:spacing w:after="60" w:lineRule="auto"/>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 Enviar la notificación al funcionario correspondiente</w:t>
            </w:r>
          </w:p>
          <w:p w:rsidR="00000000" w:rsidDel="00000000" w:rsidP="00000000" w:rsidRDefault="00000000" w:rsidRPr="00000000" w14:paraId="0000006F">
            <w:pPr>
              <w:spacing w:after="60" w:lineRule="auto"/>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 Guardar un historial de los avisos enviados</w:t>
            </w:r>
          </w:p>
        </w:tc>
      </w:tr>
      <w:tr>
        <w:trPr>
          <w:cantSplit w:val="0"/>
          <w:trHeight w:val="156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70">
            <w:pP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Interacciones con otros microservicios</w:t>
            </w:r>
          </w:p>
        </w:tc>
        <w:tc>
          <w:tcPr>
            <w:tcBorders>
              <w:top w:color="000000" w:space="0" w:sz="0" w:val="nil"/>
              <w:left w:color="000000" w:space="0" w:sz="0" w:val="nil"/>
              <w:bottom w:color="000000" w:space="0" w:sz="6" w:val="single"/>
              <w:right w:color="000000" w:space="0" w:sz="6" w:val="single"/>
            </w:tcBorders>
            <w:tcMar>
              <w:top w:w="120.0" w:type="dxa"/>
              <w:left w:w="160.0" w:type="dxa"/>
              <w:bottom w:w="120.0" w:type="dxa"/>
              <w:right w:w="160.0" w:type="dxa"/>
            </w:tcMar>
            <w:vAlign w:val="top"/>
          </w:tcPr>
          <w:p w:rsidR="00000000" w:rsidDel="00000000" w:rsidP="00000000" w:rsidRDefault="00000000" w:rsidRPr="00000000" w14:paraId="00000071">
            <w:pP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Se suscribe a la cola de mensajes (Event Bus) para recibir eventos como SolicitudMoverVehiculo y DisponibilidadActualizada. Cuando necesita el dato de contacto del funcionario que recibirá un aviso, consulta a Gestión de Funcionarios mediante REST/HTTPS, protegida con Circuit Breaker. Al enviar una notificación, publica el evento NotificacionEnviada para dejar trazabilidad.</w:t>
            </w:r>
          </w:p>
        </w:tc>
      </w:tr>
      <w:tr>
        <w:trPr>
          <w:cantSplit w:val="0"/>
          <w:trHeight w:val="162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72">
            <w:pP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Justificación del aislamiento del servicio</w:t>
            </w:r>
          </w:p>
        </w:tc>
        <w:tc>
          <w:tcPr>
            <w:tcBorders>
              <w:top w:color="000000" w:space="0" w:sz="0" w:val="nil"/>
              <w:left w:color="000000" w:space="0" w:sz="0" w:val="nil"/>
              <w:bottom w:color="000000" w:space="0" w:sz="6" w:val="single"/>
              <w:right w:color="000000" w:space="0" w:sz="6" w:val="single"/>
            </w:tcBorders>
            <w:tcMar>
              <w:top w:w="120.0" w:type="dxa"/>
              <w:left w:w="160.0" w:type="dxa"/>
              <w:bottom w:w="120.0" w:type="dxa"/>
              <w:right w:w="160.0" w:type="dxa"/>
            </w:tcMar>
            <w:vAlign w:val="top"/>
          </w:tcPr>
          <w:p w:rsidR="00000000" w:rsidDel="00000000" w:rsidP="00000000" w:rsidRDefault="00000000" w:rsidRPr="00000000" w14:paraId="00000073">
            <w:pPr>
              <w:spacing w:after="60" w:lineRule="auto"/>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Tener un solo módulo encargado de enviar avisos, con su propia base de datos, evita repetir esta lógica en cada parte del sistema y permite cambiar la forma de notificar sin tocar los demás microservicios ni sus datos. La consulta síncrona a Gestión de Funcionarios está protegida con Circuit Breaker, y el uso de eventos para recibir solicitudes evita que una falla en Estacionamiento afecte directamente a Notificaciones.</w:t>
            </w:r>
          </w:p>
        </w:tc>
      </w:tr>
    </w:tbl>
    <w:p w:rsidR="00000000" w:rsidDel="00000000" w:rsidP="00000000" w:rsidRDefault="00000000" w:rsidRPr="00000000" w14:paraId="00000074">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 </w:t>
      </w:r>
    </w:p>
    <w:p w:rsidR="00000000" w:rsidDel="00000000" w:rsidP="00000000" w:rsidRDefault="00000000" w:rsidRPr="00000000" w14:paraId="00000075">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 </w:t>
      </w:r>
    </w:p>
    <w:p w:rsidR="00000000" w:rsidDel="00000000" w:rsidP="00000000" w:rsidRDefault="00000000" w:rsidRPr="00000000" w14:paraId="00000076">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 </w:t>
      </w:r>
    </w:p>
    <w:p w:rsidR="00000000" w:rsidDel="00000000" w:rsidP="00000000" w:rsidRDefault="00000000" w:rsidRPr="00000000" w14:paraId="00000077">
      <w:pPr>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 </w:t>
      </w:r>
    </w:p>
    <w:p w:rsidR="00000000" w:rsidDel="00000000" w:rsidP="00000000" w:rsidRDefault="00000000" w:rsidRPr="00000000" w14:paraId="00000078">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4. Patrones de arquitectura, seguridad y monitoreo.</w:t>
      </w:r>
    </w:p>
    <w:tbl>
      <w:tblPr>
        <w:tblStyle w:val="Table1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372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Service Registry (registro de servicios): permite que Gestión de Estacionamiento y Notificaciones encuentren automáticamente la dirección de Gestión de Funcionarios, sin tenerla fija en el código.</w:t>
            </w:r>
          </w:p>
          <w:p w:rsidR="00000000" w:rsidDel="00000000" w:rsidP="00000000" w:rsidRDefault="00000000" w:rsidRPr="00000000" w14:paraId="0000007A">
            <w:pP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Circuit Breaker (protección ante fallas): se aplica en las llamadas REST/HTTPS hacia Gestión de Funcionarios realizadas desde Estacionamiento y desde Notificaciones, que son los únicos puntos donde existe una dependencia síncrona real que podría fallar. No se aplica sobre la comunicación por eventos, porque la cola de mensajes ya desacopla a los servicios entre sí.</w:t>
            </w:r>
          </w:p>
          <w:p w:rsidR="00000000" w:rsidDel="00000000" w:rsidP="00000000" w:rsidRDefault="00000000" w:rsidRPr="00000000" w14:paraId="0000007B">
            <w:pP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Cola de mensajes / Event Bus (comunicación asincrónica): permite que los microservicios se comuniquen sin depender directamente unos de otros. Los eventos definidos son SolicitudMoverVehiculo y VehiculoRegistrado (publicados por Estacionamiento), DisponibilidadActualizada (publicado por Presencia y Disponibilidad) y NotificacionEnviada (publicado por Notificaciones).</w:t>
            </w:r>
          </w:p>
          <w:p w:rsidR="00000000" w:rsidDel="00000000" w:rsidP="00000000" w:rsidRDefault="00000000" w:rsidRPr="00000000" w14:paraId="0000007C">
            <w:pP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Seguridad: todas las comunicaciones se realizan mediante HTTPS; el acceso se valida con autenticación JWT (token); la autorización se aplica por roles (Funcionario y Administrador); y cada endpoint del API Gateway cuenta con su propio control de acceso.</w:t>
            </w:r>
          </w:p>
          <w:p w:rsidR="00000000" w:rsidDel="00000000" w:rsidP="00000000" w:rsidRDefault="00000000" w:rsidRPr="00000000" w14:paraId="0000007D">
            <w:pP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Monitoreo y alertas: se contempla monitorear la disponibilidad de los servicios, los tiempos de respuesta, los errores y el uso de recursos, por ejemplo con Prometheus y Grafana, para detectar problemas antes de que afecten a los funcionarios.</w:t>
            </w:r>
          </w:p>
        </w:tc>
      </w:tr>
    </w:tbl>
    <w:p w:rsidR="00000000" w:rsidDel="00000000" w:rsidP="00000000" w:rsidRDefault="00000000" w:rsidRPr="00000000" w14:paraId="0000007E">
      <w:pPr>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 </w:t>
      </w:r>
    </w:p>
    <w:p w:rsidR="00000000" w:rsidDel="00000000" w:rsidP="00000000" w:rsidRDefault="00000000" w:rsidRPr="00000000" w14:paraId="0000007F">
      <w:pPr>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Flujo crítico — Solicitud para mover un vehículo</w:t>
      </w:r>
    </w:p>
    <w:tbl>
      <w:tblPr>
        <w:tblStyle w:val="Table11"/>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6630"/>
        <w:tblGridChange w:id="0">
          <w:tblGrid>
            <w:gridCol w:w="2700"/>
            <w:gridCol w:w="6630"/>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80">
            <w:pP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Paso 1</w:t>
            </w:r>
          </w:p>
        </w:tc>
        <w:tc>
          <w:tcPr>
            <w:tcBorders>
              <w:top w:color="000000" w:space="0" w:sz="6" w:val="single"/>
              <w:left w:color="000000" w:space="0" w:sz="0" w:val="nil"/>
              <w:bottom w:color="000000" w:space="0" w:sz="6" w:val="single"/>
              <w:right w:color="000000" w:space="0" w:sz="6" w:val="single"/>
            </w:tcBorders>
            <w:tcMar>
              <w:top w:w="120.0" w:type="dxa"/>
              <w:left w:w="160.0" w:type="dxa"/>
              <w:bottom w:w="120.0" w:type="dxa"/>
              <w:right w:w="160.0" w:type="dxa"/>
            </w:tcMar>
            <w:vAlign w:val="top"/>
          </w:tcPr>
          <w:p w:rsidR="00000000" w:rsidDel="00000000" w:rsidP="00000000" w:rsidRDefault="00000000" w:rsidRPr="00000000" w14:paraId="00000081">
            <w:pP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El funcionario solicita mover un vehículo desde la aplicación.</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82">
            <w:pP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Paso 2</w:t>
            </w:r>
          </w:p>
        </w:tc>
        <w:tc>
          <w:tcPr>
            <w:tcBorders>
              <w:top w:color="000000" w:space="0" w:sz="0" w:val="nil"/>
              <w:left w:color="000000" w:space="0" w:sz="0" w:val="nil"/>
              <w:bottom w:color="000000" w:space="0" w:sz="6" w:val="single"/>
              <w:right w:color="000000" w:space="0" w:sz="6" w:val="single"/>
            </w:tcBorders>
            <w:tcMar>
              <w:top w:w="120.0" w:type="dxa"/>
              <w:left w:w="160.0" w:type="dxa"/>
              <w:bottom w:w="120.0" w:type="dxa"/>
              <w:right w:w="160.0" w:type="dxa"/>
            </w:tcMar>
            <w:vAlign w:val="top"/>
          </w:tcPr>
          <w:p w:rsidR="00000000" w:rsidDel="00000000" w:rsidP="00000000" w:rsidRDefault="00000000" w:rsidRPr="00000000" w14:paraId="00000083">
            <w:pP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Gestión de Estacionamiento registra la solicitud y publica el evento SolicitudMoverVehiculo.</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84">
            <w:pP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Paso 3</w:t>
            </w:r>
          </w:p>
        </w:tc>
        <w:tc>
          <w:tcPr>
            <w:tcBorders>
              <w:top w:color="000000" w:space="0" w:sz="0" w:val="nil"/>
              <w:left w:color="000000" w:space="0" w:sz="0" w:val="nil"/>
              <w:bottom w:color="000000" w:space="0" w:sz="6" w:val="single"/>
              <w:right w:color="000000" w:space="0" w:sz="6" w:val="single"/>
            </w:tcBorders>
            <w:tcMar>
              <w:top w:w="120.0" w:type="dxa"/>
              <w:left w:w="160.0" w:type="dxa"/>
              <w:bottom w:w="120.0" w:type="dxa"/>
              <w:right w:w="160.0" w:type="dxa"/>
            </w:tcMar>
            <w:vAlign w:val="top"/>
          </w:tcPr>
          <w:p w:rsidR="00000000" w:rsidDel="00000000" w:rsidP="00000000" w:rsidRDefault="00000000" w:rsidRPr="00000000" w14:paraId="00000085">
            <w:pP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Notificaciones consume el evento desde la cola de mensajes y envía el aviso al propietario del vehículo.</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86">
            <w:pP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Paso 4</w:t>
            </w:r>
          </w:p>
        </w:tc>
        <w:tc>
          <w:tcPr>
            <w:tcBorders>
              <w:top w:color="000000" w:space="0" w:sz="0" w:val="nil"/>
              <w:left w:color="000000" w:space="0" w:sz="0" w:val="nil"/>
              <w:bottom w:color="000000" w:space="0" w:sz="6" w:val="single"/>
              <w:right w:color="000000" w:space="0" w:sz="6" w:val="single"/>
            </w:tcBorders>
            <w:tcMar>
              <w:top w:w="120.0" w:type="dxa"/>
              <w:left w:w="160.0" w:type="dxa"/>
              <w:bottom w:w="120.0" w:type="dxa"/>
              <w:right w:w="160.0" w:type="dxa"/>
            </w:tcMar>
            <w:vAlign w:val="top"/>
          </w:tcPr>
          <w:p w:rsidR="00000000" w:rsidDel="00000000" w:rsidP="00000000" w:rsidRDefault="00000000" w:rsidRPr="00000000" w14:paraId="00000087">
            <w:pP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El funcionario propietario recibe la notificación push y puede responder.</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88">
            <w:pP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Paso 5 (opcional)</w:t>
            </w:r>
          </w:p>
        </w:tc>
        <w:tc>
          <w:tcPr>
            <w:tcBorders>
              <w:top w:color="000000" w:space="0" w:sz="0" w:val="nil"/>
              <w:left w:color="000000" w:space="0" w:sz="0" w:val="nil"/>
              <w:bottom w:color="000000" w:space="0" w:sz="6" w:val="single"/>
              <w:right w:color="000000" w:space="0" w:sz="6" w:val="single"/>
            </w:tcBorders>
            <w:tcMar>
              <w:top w:w="120.0" w:type="dxa"/>
              <w:left w:w="160.0" w:type="dxa"/>
              <w:bottom w:w="120.0" w:type="dxa"/>
              <w:right w:w="160.0" w:type="dxa"/>
            </w:tcMar>
            <w:vAlign w:val="top"/>
          </w:tcPr>
          <w:p w:rsidR="00000000" w:rsidDel="00000000" w:rsidP="00000000" w:rsidRDefault="00000000" w:rsidRPr="00000000" w14:paraId="00000089">
            <w:pP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El propietario confirma que movió el vehículo.</w:t>
            </w:r>
          </w:p>
        </w:tc>
      </w:tr>
    </w:tbl>
    <w:p w:rsidR="00000000" w:rsidDel="00000000" w:rsidP="00000000" w:rsidRDefault="00000000" w:rsidRPr="00000000" w14:paraId="0000008A">
      <w:pPr>
        <w:rPr>
          <w:rFonts w:ascii="Aptos Narrow" w:cs="Aptos Narrow" w:eastAsia="Aptos Narrow" w:hAnsi="Aptos Narrow"/>
          <w:b w:val="1"/>
          <w:bCs w:val="1"/>
          <w:sz w:val="22"/>
          <w:szCs w:val="22"/>
        </w:rPr>
      </w:pPr>
      <w:r w:rsidDel="00000000" w:rsidR="00000000" w:rsidRPr="00000000">
        <w:rPr>
          <w:rFonts w:ascii="Aptos Narrow" w:cs="Aptos Narrow" w:eastAsia="Aptos Narrow" w:hAnsi="Aptos Narrow"/>
          <w:b w:val="1"/>
          <w:bCs w:val="1"/>
          <w:sz w:val="22"/>
          <w:szCs w:val="22"/>
          <w:rtl w:val="0"/>
        </w:rPr>
        <w:t xml:space="preserve"> </w:t>
      </w:r>
    </w:p>
    <w:p w:rsidR="00000000" w:rsidDel="00000000" w:rsidP="00000000" w:rsidRDefault="00000000" w:rsidRPr="00000000" w14:paraId="0000008B">
      <w:pPr>
        <w:rPr>
          <w:b w:val="1"/>
          <w:bCs w:val="1"/>
        </w:rPr>
      </w:pPr>
      <w:r w:rsidDel="00000000" w:rsidR="00000000" w:rsidRPr="00000000">
        <w:rPr>
          <w:rtl w:val="0"/>
        </w:rPr>
      </w:r>
    </w:p>
    <w:sectPr>
      <w:headerReference r:id="rId10" w:type="default"/>
      <w:footerReference r:id="rId11" w:type="default"/>
      <w:pgSz w:h="20160" w:w="12240" w:orient="portrait"/>
      <w:pgMar w:bottom="1134" w:top="1134" w:left="1134" w:right="1134" w:header="708" w:footer="120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Courier New"/>
  <w:font w:name="Aptos Narro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95"/>
      </w:tabs>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59" w:lineRule="auto"/>
      <w:ind w:left="-2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869144" cy="498662"/>
          <wp:effectExtent b="0" l="0" r="0" t="0"/>
          <wp:docPr descr="Texto&#10;&#10;Descripción generada automáticamente con confianza media" id="2106009977" name="image4.jpg"/>
          <a:graphic>
            <a:graphicData uri="http://schemas.openxmlformats.org/drawingml/2006/picture">
              <pic:pic>
                <pic:nvPicPr>
                  <pic:cNvPr descr="Texto&#10;&#10;Descripción generada automáticamente con confianza media" id="0" name="image4.jpg"/>
                  <pic:cNvPicPr preferRelativeResize="0"/>
                </pic:nvPicPr>
                <pic:blipFill>
                  <a:blip r:embed="rId1"/>
                  <a:srcRect b="0" l="0" r="0" t="0"/>
                  <a:stretch>
                    <a:fillRect/>
                  </a:stretch>
                </pic:blipFill>
                <pic:spPr>
                  <a:xfrm>
                    <a:off x="0" y="0"/>
                    <a:ext cx="1869144" cy="49866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873250" cy="373380"/>
          <wp:effectExtent b="0" l="0" r="0" t="0"/>
          <wp:docPr id="2106009979"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73250" cy="37338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rPr>
      <w:b w:val="1"/>
      <w:bCs w:val="1"/>
      <w:sz w:val="36"/>
      <w:szCs w:val="36"/>
    </w:rPr>
  </w:style>
  <w:style w:type="paragraph" w:styleId="Heading3">
    <w:name w:val="heading 3"/>
    <w:basedOn w:val="Normal"/>
    <w:next w:val="Normal"/>
    <w:pPr/>
    <w:rPr>
      <w:b w:val="1"/>
      <w:bCs w:val="1"/>
      <w:sz w:val="27"/>
      <w:szCs w:val="27"/>
    </w:rPr>
  </w:style>
  <w:style w:type="paragraph" w:styleId="Heading4">
    <w:name w:val="heading 4"/>
    <w:basedOn w:val="Normal"/>
    <w:next w:val="Normal"/>
    <w:pPr>
      <w:widowControl w:val="0"/>
      <w:ind w:left="1561"/>
    </w:pPr>
    <w:rPr>
      <w:rFonts w:ascii="Arial" w:cs="Arial" w:eastAsia="Arial" w:hAnsi="Arial"/>
      <w:sz w:val="31"/>
      <w:szCs w:val="31"/>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spacing w:before="40" w:lineRule="auto"/>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tulo7">
    <w:name w:val="heading 7"/>
    <w:basedOn w:val="Normal"/>
    <w:next w:val="Normal"/>
    <w:link w:val="Ttulo7Car"/>
    <w:uiPriority w:val="1"/>
    <w:unhideWhenUsed w:val="1"/>
    <w:qFormat w:val="1"/>
    <w:rsid w:val="000B6803"/>
    <w:pPr>
      <w:keepNext w:val="1"/>
      <w:keepLines w:val="1"/>
      <w:spacing w:before="40"/>
      <w:outlineLvl w:val="6"/>
    </w:pPr>
    <w:rPr>
      <w:rFonts w:asciiTheme="majorHAnsi" w:cstheme="majorBidi" w:eastAsiaTheme="majorEastAsia" w:hAnsiTheme="majorHAnsi"/>
      <w:i w:val="1"/>
      <w:iCs w:val="1"/>
      <w:color w:val="1f3763" w:themeColor="accent1" w:themeShade="00007F"/>
    </w:rPr>
  </w:style>
  <w:style w:type="paragraph" w:styleId="Ttulo8">
    <w:name w:val="heading 8"/>
    <w:basedOn w:val="Normal"/>
    <w:next w:val="Normal"/>
    <w:link w:val="Ttulo8Car"/>
    <w:uiPriority w:val="1"/>
    <w:unhideWhenUsed w:val="1"/>
    <w:qFormat w:val="1"/>
    <w:rsid w:val="000B6803"/>
    <w:pPr>
      <w:keepNext w:val="1"/>
      <w:keepLines w:val="1"/>
      <w:spacing w:before="40"/>
      <w:outlineLvl w:val="7"/>
    </w:pPr>
    <w:rPr>
      <w:rFonts w:asciiTheme="majorHAnsi" w:cstheme="majorBidi" w:eastAsiaTheme="majorEastAsia" w:hAnsiTheme="majorHAnsi"/>
      <w:color w:val="272727" w:themeColor="text1" w:themeTint="0000D8"/>
      <w:sz w:val="21"/>
      <w:szCs w:val="21"/>
    </w:rPr>
  </w:style>
  <w:style w:type="paragraph" w:styleId="Ttulo9">
    <w:name w:val="heading 9"/>
    <w:basedOn w:val="Normal"/>
    <w:next w:val="Normal"/>
    <w:link w:val="Ttulo9Car"/>
    <w:uiPriority w:val="1"/>
    <w:unhideWhenUsed w:val="1"/>
    <w:qFormat w:val="1"/>
    <w:rsid w:val="000B6803"/>
    <w:pPr>
      <w:keepNext w:val="1"/>
      <w:keepLines w:val="1"/>
      <w:spacing w:before="40"/>
      <w:outlineLvl w:val="8"/>
    </w:pPr>
    <w:rPr>
      <w:rFonts w:asciiTheme="majorHAnsi" w:cstheme="majorBidi" w:eastAsiaTheme="majorEastAsia" w:hAnsiTheme="majorHAnsi"/>
      <w:i w:val="1"/>
      <w:iCs w:val="1"/>
      <w:color w:val="272727" w:themeColor="text1" w:themeTint="0000D8"/>
      <w:sz w:val="21"/>
      <w:szCs w:val="21"/>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A23138"/>
    <w:pPr>
      <w:ind w:left="720"/>
      <w:contextualSpacing w:val="1"/>
    </w:pPr>
  </w:style>
  <w:style w:type="paragraph" w:styleId="NormalWeb">
    <w:name w:val="Normal (Web)"/>
    <w:basedOn w:val="Normal"/>
    <w:uiPriority w:val="99"/>
    <w:unhideWhenUsed w:val="1"/>
    <w:rsid w:val="00A23138"/>
    <w:pPr>
      <w:spacing w:after="100" w:afterAutospacing="1" w:before="100" w:beforeAutospacing="1"/>
    </w:pPr>
  </w:style>
  <w:style w:type="table" w:styleId="Tablaconcuadrcula">
    <w:name w:val="Table Grid"/>
    <w:basedOn w:val="Tablanormal"/>
    <w:uiPriority w:val="39"/>
    <w:rsid w:val="00DF48C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DC2445"/>
    <w:rPr>
      <w:sz w:val="18"/>
      <w:szCs w:val="18"/>
    </w:rPr>
  </w:style>
  <w:style w:type="character" w:styleId="TextodegloboCar" w:customStyle="1">
    <w:name w:val="Texto de globo Car"/>
    <w:basedOn w:val="Fuentedeprrafopredeter"/>
    <w:link w:val="Textodeglobo"/>
    <w:uiPriority w:val="99"/>
    <w:semiHidden w:val="1"/>
    <w:rsid w:val="00DC2445"/>
    <w:rPr>
      <w:rFonts w:ascii="Times New Roman" w:cs="Times New Roman" w:hAnsi="Times New Roman"/>
      <w:sz w:val="18"/>
      <w:szCs w:val="18"/>
    </w:rPr>
  </w:style>
  <w:style w:type="paragraph" w:styleId="msonormal0" w:customStyle="1">
    <w:name w:val="msonormal"/>
    <w:basedOn w:val="Normal"/>
    <w:rsid w:val="00B20B1B"/>
    <w:pPr>
      <w:spacing w:after="100" w:afterAutospacing="1" w:before="100" w:beforeAutospacing="1"/>
    </w:pPr>
  </w:style>
  <w:style w:type="paragraph" w:styleId="HTMLconformatoprevio">
    <w:name w:val="HTML Preformatted"/>
    <w:basedOn w:val="Normal"/>
    <w:link w:val="HTMLconformatoprevioCar"/>
    <w:uiPriority w:val="99"/>
    <w:semiHidden w:val="1"/>
    <w:unhideWhenUsed w:val="1"/>
    <w:rsid w:val="00B20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hAnsi="Courier New"/>
      <w:sz w:val="20"/>
      <w:szCs w:val="20"/>
    </w:rPr>
  </w:style>
  <w:style w:type="character" w:styleId="HTMLconformatoprevioCar" w:customStyle="1">
    <w:name w:val="HTML con formato previo Car"/>
    <w:basedOn w:val="Fuentedeprrafopredeter"/>
    <w:link w:val="HTMLconformatoprevio"/>
    <w:uiPriority w:val="99"/>
    <w:semiHidden w:val="1"/>
    <w:rsid w:val="00B20B1B"/>
    <w:rPr>
      <w:rFonts w:ascii="Courier New" w:cs="Courier New" w:eastAsia="Times New Roman" w:hAnsi="Courier New"/>
      <w:sz w:val="20"/>
      <w:szCs w:val="20"/>
      <w:lang w:eastAsia="es-ES_tradnl"/>
    </w:rPr>
  </w:style>
  <w:style w:type="paragraph" w:styleId="Encabezado">
    <w:name w:val="header"/>
    <w:basedOn w:val="Normal"/>
    <w:link w:val="EncabezadoCar"/>
    <w:uiPriority w:val="99"/>
    <w:unhideWhenUsed w:val="1"/>
    <w:rsid w:val="002E3ED2"/>
    <w:pPr>
      <w:tabs>
        <w:tab w:val="center" w:pos="4419"/>
        <w:tab w:val="right" w:pos="8838"/>
      </w:tabs>
    </w:pPr>
  </w:style>
  <w:style w:type="character" w:styleId="EncabezadoCar" w:customStyle="1">
    <w:name w:val="Encabezado Car"/>
    <w:basedOn w:val="Fuentedeprrafopredeter"/>
    <w:link w:val="Encabezado"/>
    <w:uiPriority w:val="99"/>
    <w:rsid w:val="002E3ED2"/>
  </w:style>
  <w:style w:type="paragraph" w:styleId="Piedepgina">
    <w:name w:val="footer"/>
    <w:basedOn w:val="Normal"/>
    <w:link w:val="PiedepginaCar"/>
    <w:uiPriority w:val="99"/>
    <w:unhideWhenUsed w:val="1"/>
    <w:rsid w:val="002E3ED2"/>
    <w:pPr>
      <w:tabs>
        <w:tab w:val="center" w:pos="4419"/>
        <w:tab w:val="right" w:pos="8838"/>
      </w:tabs>
    </w:pPr>
  </w:style>
  <w:style w:type="character" w:styleId="PiedepginaCar" w:customStyle="1">
    <w:name w:val="Pie de página Car"/>
    <w:basedOn w:val="Fuentedeprrafopredeter"/>
    <w:link w:val="Piedepgina"/>
    <w:uiPriority w:val="99"/>
    <w:rsid w:val="002E3ED2"/>
  </w:style>
  <w:style w:type="character" w:styleId="Ttulo2Car" w:customStyle="1">
    <w:name w:val="Título 2 Car"/>
    <w:basedOn w:val="Fuentedeprrafopredeter"/>
    <w:link w:val="Ttulo2"/>
    <w:uiPriority w:val="9"/>
    <w:rsid w:val="005E2C58"/>
    <w:rPr>
      <w:rFonts w:ascii="Times New Roman" w:cs="Times New Roman" w:eastAsia="Times New Roman" w:hAnsi="Times New Roman"/>
      <w:b w:val="1"/>
      <w:bCs w:val="1"/>
      <w:sz w:val="36"/>
      <w:szCs w:val="36"/>
      <w:lang w:eastAsia="es-ES_tradnl"/>
    </w:rPr>
  </w:style>
  <w:style w:type="character" w:styleId="Ttulo3Car" w:customStyle="1">
    <w:name w:val="Título 3 Car"/>
    <w:basedOn w:val="Fuentedeprrafopredeter"/>
    <w:link w:val="Ttulo3"/>
    <w:uiPriority w:val="9"/>
    <w:rsid w:val="005E2C58"/>
    <w:rPr>
      <w:rFonts w:ascii="Times New Roman" w:cs="Times New Roman" w:eastAsia="Times New Roman" w:hAnsi="Times New Roman"/>
      <w:b w:val="1"/>
      <w:bCs w:val="1"/>
      <w:sz w:val="27"/>
      <w:szCs w:val="27"/>
      <w:lang w:eastAsia="es-ES_tradnl"/>
    </w:rPr>
  </w:style>
  <w:style w:type="character" w:styleId="Ttulo1Car" w:customStyle="1">
    <w:name w:val="Título 1 Car"/>
    <w:basedOn w:val="Fuentedeprrafopredeter"/>
    <w:link w:val="Ttulo1"/>
    <w:uiPriority w:val="9"/>
    <w:rsid w:val="009846C8"/>
    <w:rPr>
      <w:rFonts w:asciiTheme="majorHAnsi" w:cstheme="majorBidi" w:eastAsiaTheme="majorEastAsia" w:hAnsiTheme="majorHAnsi"/>
      <w:color w:val="2f5496" w:themeColor="accent1" w:themeShade="0000BF"/>
      <w:sz w:val="32"/>
      <w:szCs w:val="32"/>
      <w:lang w:eastAsia="es-ES_tradnl"/>
    </w:rPr>
  </w:style>
  <w:style w:type="paragraph" w:styleId="TtuloTDC">
    <w:name w:val="TOC Heading"/>
    <w:basedOn w:val="Ttulo1"/>
    <w:next w:val="Normal"/>
    <w:uiPriority w:val="39"/>
    <w:unhideWhenUsed w:val="1"/>
    <w:qFormat w:val="1"/>
    <w:rsid w:val="009846C8"/>
    <w:pPr>
      <w:spacing w:before="480" w:line="276" w:lineRule="auto"/>
      <w:outlineLvl w:val="9"/>
    </w:pPr>
    <w:rPr>
      <w:b w:val="1"/>
      <w:bCs w:val="1"/>
      <w:sz w:val="28"/>
      <w:szCs w:val="28"/>
    </w:rPr>
  </w:style>
  <w:style w:type="paragraph" w:styleId="TDC3">
    <w:name w:val="toc 3"/>
    <w:basedOn w:val="Normal"/>
    <w:next w:val="Normal"/>
    <w:autoRedefine w:val="1"/>
    <w:uiPriority w:val="39"/>
    <w:unhideWhenUsed w:val="1"/>
    <w:rsid w:val="009846C8"/>
    <w:pPr>
      <w:ind w:left="480"/>
    </w:pPr>
    <w:rPr>
      <w:rFonts w:asciiTheme="minorHAnsi" w:cstheme="minorHAnsi" w:hAnsiTheme="minorHAnsi"/>
      <w:sz w:val="20"/>
      <w:szCs w:val="20"/>
    </w:rPr>
  </w:style>
  <w:style w:type="character" w:styleId="Hipervnculo">
    <w:name w:val="Hyperlink"/>
    <w:basedOn w:val="Fuentedeprrafopredeter"/>
    <w:uiPriority w:val="99"/>
    <w:unhideWhenUsed w:val="1"/>
    <w:rsid w:val="009846C8"/>
    <w:rPr>
      <w:color w:val="0563c1" w:themeColor="hyperlink"/>
      <w:u w:val="single"/>
    </w:rPr>
  </w:style>
  <w:style w:type="paragraph" w:styleId="TDC1">
    <w:name w:val="toc 1"/>
    <w:basedOn w:val="Normal"/>
    <w:next w:val="Normal"/>
    <w:autoRedefine w:val="1"/>
    <w:uiPriority w:val="39"/>
    <w:unhideWhenUsed w:val="1"/>
    <w:rsid w:val="009846C8"/>
    <w:pPr>
      <w:spacing w:before="120"/>
    </w:pPr>
    <w:rPr>
      <w:rFonts w:asciiTheme="minorHAnsi" w:cstheme="minorHAnsi" w:hAnsiTheme="minorHAnsi"/>
      <w:b w:val="1"/>
      <w:bCs w:val="1"/>
      <w:i w:val="1"/>
      <w:iCs w:val="1"/>
    </w:rPr>
  </w:style>
  <w:style w:type="paragraph" w:styleId="TDC2">
    <w:name w:val="toc 2"/>
    <w:basedOn w:val="Normal"/>
    <w:next w:val="Normal"/>
    <w:autoRedefine w:val="1"/>
    <w:uiPriority w:val="39"/>
    <w:unhideWhenUsed w:val="1"/>
    <w:rsid w:val="009846C8"/>
    <w:pPr>
      <w:spacing w:before="120"/>
      <w:ind w:left="240"/>
    </w:pPr>
    <w:rPr>
      <w:rFonts w:asciiTheme="minorHAnsi" w:cstheme="minorHAnsi" w:hAnsiTheme="minorHAnsi"/>
      <w:b w:val="1"/>
      <w:bCs w:val="1"/>
      <w:sz w:val="22"/>
      <w:szCs w:val="22"/>
    </w:rPr>
  </w:style>
  <w:style w:type="paragraph" w:styleId="TDC4">
    <w:name w:val="toc 4"/>
    <w:basedOn w:val="Normal"/>
    <w:next w:val="Normal"/>
    <w:autoRedefine w:val="1"/>
    <w:uiPriority w:val="39"/>
    <w:semiHidden w:val="1"/>
    <w:unhideWhenUsed w:val="1"/>
    <w:rsid w:val="009846C8"/>
    <w:pPr>
      <w:ind w:left="720"/>
    </w:pPr>
    <w:rPr>
      <w:rFonts w:asciiTheme="minorHAnsi" w:cstheme="minorHAnsi" w:hAnsiTheme="minorHAnsi"/>
      <w:sz w:val="20"/>
      <w:szCs w:val="20"/>
    </w:rPr>
  </w:style>
  <w:style w:type="paragraph" w:styleId="TDC5">
    <w:name w:val="toc 5"/>
    <w:basedOn w:val="Normal"/>
    <w:next w:val="Normal"/>
    <w:autoRedefine w:val="1"/>
    <w:uiPriority w:val="39"/>
    <w:semiHidden w:val="1"/>
    <w:unhideWhenUsed w:val="1"/>
    <w:rsid w:val="009846C8"/>
    <w:pPr>
      <w:ind w:left="960"/>
    </w:pPr>
    <w:rPr>
      <w:rFonts w:asciiTheme="minorHAnsi" w:cstheme="minorHAnsi" w:hAnsiTheme="minorHAnsi"/>
      <w:sz w:val="20"/>
      <w:szCs w:val="20"/>
    </w:rPr>
  </w:style>
  <w:style w:type="paragraph" w:styleId="TDC6">
    <w:name w:val="toc 6"/>
    <w:basedOn w:val="Normal"/>
    <w:next w:val="Normal"/>
    <w:autoRedefine w:val="1"/>
    <w:uiPriority w:val="39"/>
    <w:semiHidden w:val="1"/>
    <w:unhideWhenUsed w:val="1"/>
    <w:rsid w:val="009846C8"/>
    <w:pPr>
      <w:ind w:left="1200"/>
    </w:pPr>
    <w:rPr>
      <w:rFonts w:asciiTheme="minorHAnsi" w:cstheme="minorHAnsi" w:hAnsiTheme="minorHAnsi"/>
      <w:sz w:val="20"/>
      <w:szCs w:val="20"/>
    </w:rPr>
  </w:style>
  <w:style w:type="paragraph" w:styleId="TDC7">
    <w:name w:val="toc 7"/>
    <w:basedOn w:val="Normal"/>
    <w:next w:val="Normal"/>
    <w:autoRedefine w:val="1"/>
    <w:uiPriority w:val="39"/>
    <w:semiHidden w:val="1"/>
    <w:unhideWhenUsed w:val="1"/>
    <w:rsid w:val="009846C8"/>
    <w:pPr>
      <w:ind w:left="1440"/>
    </w:pPr>
    <w:rPr>
      <w:rFonts w:asciiTheme="minorHAnsi" w:cstheme="minorHAnsi" w:hAnsiTheme="minorHAnsi"/>
      <w:sz w:val="20"/>
      <w:szCs w:val="20"/>
    </w:rPr>
  </w:style>
  <w:style w:type="paragraph" w:styleId="TDC8">
    <w:name w:val="toc 8"/>
    <w:basedOn w:val="Normal"/>
    <w:next w:val="Normal"/>
    <w:autoRedefine w:val="1"/>
    <w:uiPriority w:val="39"/>
    <w:semiHidden w:val="1"/>
    <w:unhideWhenUsed w:val="1"/>
    <w:rsid w:val="009846C8"/>
    <w:pPr>
      <w:ind w:left="1680"/>
    </w:pPr>
    <w:rPr>
      <w:rFonts w:asciiTheme="minorHAnsi" w:cstheme="minorHAnsi" w:hAnsiTheme="minorHAnsi"/>
      <w:sz w:val="20"/>
      <w:szCs w:val="20"/>
    </w:rPr>
  </w:style>
  <w:style w:type="paragraph" w:styleId="TDC9">
    <w:name w:val="toc 9"/>
    <w:basedOn w:val="Normal"/>
    <w:next w:val="Normal"/>
    <w:autoRedefine w:val="1"/>
    <w:uiPriority w:val="39"/>
    <w:semiHidden w:val="1"/>
    <w:unhideWhenUsed w:val="1"/>
    <w:rsid w:val="009846C8"/>
    <w:pPr>
      <w:ind w:left="1920"/>
    </w:pPr>
    <w:rPr>
      <w:rFonts w:asciiTheme="minorHAnsi" w:cstheme="minorHAnsi" w:hAnsiTheme="minorHAnsi"/>
      <w:sz w:val="20"/>
      <w:szCs w:val="20"/>
    </w:rPr>
  </w:style>
  <w:style w:type="paragraph" w:styleId="Estilo1" w:customStyle="1">
    <w:name w:val="Estilo1"/>
    <w:basedOn w:val="Prrafodelista"/>
    <w:qFormat w:val="1"/>
    <w:rsid w:val="00E14E89"/>
    <w:pPr>
      <w:numPr>
        <w:ilvl w:val="1"/>
        <w:numId w:val="1"/>
      </w:numPr>
      <w:spacing w:after="100" w:afterAutospacing="1" w:before="100" w:beforeAutospacing="1"/>
    </w:pPr>
    <w:rPr>
      <w:rFonts w:asciiTheme="minorHAnsi" w:cstheme="minorHAnsi" w:hAnsiTheme="minorHAnsi"/>
      <w:sz w:val="20"/>
      <w:szCs w:val="20"/>
    </w:rPr>
  </w:style>
  <w:style w:type="character" w:styleId="Ttulo5Car" w:customStyle="1">
    <w:name w:val="Título 5 Car"/>
    <w:basedOn w:val="Fuentedeprrafopredeter"/>
    <w:link w:val="Ttulo5"/>
    <w:uiPriority w:val="9"/>
    <w:semiHidden w:val="1"/>
    <w:rsid w:val="000B6803"/>
    <w:rPr>
      <w:rFonts w:asciiTheme="majorHAnsi" w:cstheme="majorBidi" w:eastAsiaTheme="majorEastAsia" w:hAnsiTheme="majorHAnsi"/>
      <w:color w:val="2f5496" w:themeColor="accent1" w:themeShade="0000BF"/>
      <w:lang w:eastAsia="es-ES_tradnl"/>
    </w:rPr>
  </w:style>
  <w:style w:type="character" w:styleId="Ttulo6Car" w:customStyle="1">
    <w:name w:val="Título 6 Car"/>
    <w:basedOn w:val="Fuentedeprrafopredeter"/>
    <w:link w:val="Ttulo6"/>
    <w:uiPriority w:val="9"/>
    <w:rsid w:val="000B6803"/>
    <w:rPr>
      <w:rFonts w:asciiTheme="majorHAnsi" w:cstheme="majorBidi" w:eastAsiaTheme="majorEastAsia" w:hAnsiTheme="majorHAnsi"/>
      <w:color w:val="1f3763" w:themeColor="accent1" w:themeShade="00007F"/>
      <w:lang w:eastAsia="es-ES_tradnl"/>
    </w:rPr>
  </w:style>
  <w:style w:type="character" w:styleId="Ttulo7Car" w:customStyle="1">
    <w:name w:val="Título 7 Car"/>
    <w:basedOn w:val="Fuentedeprrafopredeter"/>
    <w:link w:val="Ttulo7"/>
    <w:uiPriority w:val="9"/>
    <w:semiHidden w:val="1"/>
    <w:rsid w:val="000B6803"/>
    <w:rPr>
      <w:rFonts w:asciiTheme="majorHAnsi" w:cstheme="majorBidi" w:eastAsiaTheme="majorEastAsia" w:hAnsiTheme="majorHAnsi"/>
      <w:i w:val="1"/>
      <w:iCs w:val="1"/>
      <w:color w:val="1f3763" w:themeColor="accent1" w:themeShade="00007F"/>
      <w:lang w:eastAsia="es-ES_tradnl"/>
    </w:rPr>
  </w:style>
  <w:style w:type="character" w:styleId="Ttulo8Car" w:customStyle="1">
    <w:name w:val="Título 8 Car"/>
    <w:basedOn w:val="Fuentedeprrafopredeter"/>
    <w:link w:val="Ttulo8"/>
    <w:uiPriority w:val="9"/>
    <w:semiHidden w:val="1"/>
    <w:rsid w:val="000B6803"/>
    <w:rPr>
      <w:rFonts w:asciiTheme="majorHAnsi" w:cstheme="majorBidi" w:eastAsiaTheme="majorEastAsia" w:hAnsiTheme="majorHAnsi"/>
      <w:color w:val="272727" w:themeColor="text1" w:themeTint="0000D8"/>
      <w:sz w:val="21"/>
      <w:szCs w:val="21"/>
      <w:lang w:eastAsia="es-ES_tradnl"/>
    </w:rPr>
  </w:style>
  <w:style w:type="character" w:styleId="Ttulo9Car" w:customStyle="1">
    <w:name w:val="Título 9 Car"/>
    <w:basedOn w:val="Fuentedeprrafopredeter"/>
    <w:link w:val="Ttulo9"/>
    <w:uiPriority w:val="1"/>
    <w:rsid w:val="000B6803"/>
    <w:rPr>
      <w:rFonts w:asciiTheme="majorHAnsi" w:cstheme="majorBidi" w:eastAsiaTheme="majorEastAsia" w:hAnsiTheme="majorHAnsi"/>
      <w:i w:val="1"/>
      <w:iCs w:val="1"/>
      <w:color w:val="272727" w:themeColor="text1" w:themeTint="0000D8"/>
      <w:sz w:val="21"/>
      <w:szCs w:val="21"/>
      <w:lang w:eastAsia="es-ES_tradnl"/>
    </w:rPr>
  </w:style>
  <w:style w:type="character" w:styleId="Ttulo4Car" w:customStyle="1">
    <w:name w:val="Título 4 Car"/>
    <w:basedOn w:val="Fuentedeprrafopredeter"/>
    <w:link w:val="Ttulo4"/>
    <w:uiPriority w:val="9"/>
    <w:rsid w:val="000B6803"/>
    <w:rPr>
      <w:rFonts w:ascii="Arial" w:cs="Arial" w:eastAsia="Arial" w:hAnsi="Arial"/>
      <w:sz w:val="31"/>
      <w:szCs w:val="31"/>
      <w:lang w:val="en-US"/>
    </w:rPr>
  </w:style>
  <w:style w:type="table" w:styleId="NormalTable0" w:customStyle="1">
    <w:name w:val="Normal Table0"/>
    <w:uiPriority w:val="2"/>
    <w:semiHidden w:val="1"/>
    <w:unhideWhenUsed w:val="1"/>
    <w:qFormat w:val="1"/>
    <w:rsid w:val="000B6803"/>
    <w:pPr>
      <w:widowControl w:val="0"/>
      <w:autoSpaceDE w:val="0"/>
      <w:autoSpaceDN w:val="0"/>
    </w:pPr>
    <w:rPr>
      <w:sz w:val="22"/>
      <w:szCs w:val="22"/>
      <w:lang w:val="en-US"/>
    </w:rPr>
    <w:tblPr>
      <w:tblInd w:w="0.0" w:type="dxa"/>
      <w:tblCellMar>
        <w:top w:w="0.0" w:type="dxa"/>
        <w:left w:w="0.0" w:type="dxa"/>
        <w:bottom w:w="0.0" w:type="dxa"/>
        <w:right w:w="0.0" w:type="dxa"/>
      </w:tblCellMar>
    </w:tblPr>
  </w:style>
  <w:style w:type="paragraph" w:styleId="Textoindependiente">
    <w:name w:val="Body Text"/>
    <w:basedOn w:val="Normal"/>
    <w:link w:val="TextoindependienteCar"/>
    <w:uiPriority w:val="1"/>
    <w:qFormat w:val="1"/>
    <w:rsid w:val="000B6803"/>
    <w:pPr>
      <w:widowControl w:val="0"/>
      <w:autoSpaceDE w:val="0"/>
      <w:autoSpaceDN w:val="0"/>
    </w:pPr>
    <w:rPr>
      <w:lang w:eastAsia="en-US" w:val="en-US"/>
    </w:rPr>
  </w:style>
  <w:style w:type="character" w:styleId="TextoindependienteCar" w:customStyle="1">
    <w:name w:val="Texto independiente Car"/>
    <w:basedOn w:val="Fuentedeprrafopredeter"/>
    <w:link w:val="Textoindependiente"/>
    <w:uiPriority w:val="1"/>
    <w:rsid w:val="000B6803"/>
    <w:rPr>
      <w:rFonts w:ascii="Times New Roman" w:cs="Times New Roman" w:eastAsia="Times New Roman" w:hAnsi="Times New Roman"/>
      <w:lang w:val="en-US"/>
    </w:rPr>
  </w:style>
  <w:style w:type="paragraph" w:styleId="TableParagraph" w:customStyle="1">
    <w:name w:val="Table Paragraph"/>
    <w:basedOn w:val="Normal"/>
    <w:uiPriority w:val="1"/>
    <w:qFormat w:val="1"/>
    <w:rsid w:val="000B6803"/>
    <w:pPr>
      <w:widowControl w:val="0"/>
      <w:autoSpaceDE w:val="0"/>
      <w:autoSpaceDN w:val="0"/>
    </w:pPr>
    <w:rPr>
      <w:sz w:val="22"/>
      <w:szCs w:val="22"/>
      <w:lang w:eastAsia="en-US" w:val="en-US"/>
    </w:rPr>
  </w:style>
  <w:style w:type="character" w:styleId="Textodelmarcadordeposicin">
    <w:name w:val="Placeholder Text"/>
    <w:basedOn w:val="Fuentedeprrafopredeter"/>
    <w:uiPriority w:val="99"/>
    <w:semiHidden w:val="1"/>
    <w:rsid w:val="00B65713"/>
    <w:rPr>
      <w:color w:val="808080"/>
    </w:rPr>
  </w:style>
  <w:style w:type="character" w:styleId="SubttuloCar" w:customStyle="1">
    <w:name w:val="Subtítulo Car"/>
    <w:basedOn w:val="Fuentedeprrafopredeter"/>
    <w:link w:val="Subttulo"/>
    <w:rsid w:val="007C53E2"/>
    <w:rPr>
      <w:rFonts w:ascii="Arial" w:cs="Times New Roman" w:eastAsia="Times New Roman" w:hAnsi="Arial"/>
      <w:b w:val="1"/>
      <w:szCs w:val="20"/>
      <w:lang w:eastAsia="es-ES" w:val="es-ES"/>
    </w:rPr>
  </w:style>
  <w:style w:type="paragraph" w:styleId="Default" w:customStyle="1">
    <w:name w:val="Default"/>
    <w:rsid w:val="007C53E2"/>
    <w:pPr>
      <w:autoSpaceDE w:val="0"/>
      <w:autoSpaceDN w:val="0"/>
      <w:adjustRightInd w:val="0"/>
    </w:pPr>
    <w:rPr>
      <w:rFonts w:ascii="Times New Roman" w:cs="Times New Roman" w:eastAsia="Times New Roman" w:hAnsi="Times New Roman"/>
      <w:color w:val="000000"/>
      <w:lang w:eastAsia="es-CL"/>
    </w:rPr>
  </w:style>
  <w:style w:type="character" w:styleId="Refdecomentario">
    <w:name w:val="annotation reference"/>
    <w:basedOn w:val="Fuentedeprrafopredeter"/>
    <w:uiPriority w:val="99"/>
    <w:semiHidden w:val="1"/>
    <w:unhideWhenUsed w:val="1"/>
    <w:rsid w:val="005B4825"/>
    <w:rPr>
      <w:sz w:val="16"/>
      <w:szCs w:val="16"/>
    </w:rPr>
  </w:style>
  <w:style w:type="paragraph" w:styleId="Textocomentario">
    <w:name w:val="annotation text"/>
    <w:basedOn w:val="Normal"/>
    <w:link w:val="TextocomentarioCar"/>
    <w:uiPriority w:val="99"/>
    <w:unhideWhenUsed w:val="1"/>
    <w:rsid w:val="005B4825"/>
    <w:rPr>
      <w:sz w:val="20"/>
      <w:szCs w:val="20"/>
    </w:rPr>
  </w:style>
  <w:style w:type="character" w:styleId="TextocomentarioCar" w:customStyle="1">
    <w:name w:val="Texto comentario Car"/>
    <w:basedOn w:val="Fuentedeprrafopredeter"/>
    <w:link w:val="Textocomentario"/>
    <w:uiPriority w:val="99"/>
    <w:rsid w:val="005B4825"/>
    <w:rPr>
      <w:rFonts w:ascii="Times New Roman" w:cs="Times New Roman" w:eastAsia="Times New Roman" w:hAnsi="Times New Roman"/>
      <w:sz w:val="20"/>
      <w:szCs w:val="20"/>
      <w:lang w:eastAsia="es-ES_tradnl"/>
    </w:rPr>
  </w:style>
  <w:style w:type="paragraph" w:styleId="Asuntodelcomentario">
    <w:name w:val="annotation subject"/>
    <w:basedOn w:val="Textocomentario"/>
    <w:next w:val="Textocomentario"/>
    <w:link w:val="AsuntodelcomentarioCar"/>
    <w:uiPriority w:val="99"/>
    <w:semiHidden w:val="1"/>
    <w:unhideWhenUsed w:val="1"/>
    <w:rsid w:val="005B4825"/>
    <w:rPr>
      <w:b w:val="1"/>
      <w:bCs w:val="1"/>
    </w:rPr>
  </w:style>
  <w:style w:type="character" w:styleId="AsuntodelcomentarioCar" w:customStyle="1">
    <w:name w:val="Asunto del comentario Car"/>
    <w:basedOn w:val="TextocomentarioCar"/>
    <w:link w:val="Asuntodelcomentario"/>
    <w:uiPriority w:val="99"/>
    <w:semiHidden w:val="1"/>
    <w:rsid w:val="005B4825"/>
    <w:rPr>
      <w:rFonts w:ascii="Times New Roman" w:cs="Times New Roman" w:eastAsia="Times New Roman" w:hAnsi="Times New Roman"/>
      <w:b w:val="1"/>
      <w:bCs w:val="1"/>
      <w:sz w:val="20"/>
      <w:szCs w:val="20"/>
      <w:lang w:eastAsia="es-ES_tradnl"/>
    </w:rPr>
  </w:style>
  <w:style w:type="paragraph" w:styleId="Sinespaciado">
    <w:name w:val="No Spacing"/>
    <w:uiPriority w:val="1"/>
    <w:qFormat w:val="1"/>
    <w:rsid w:val="00B03329"/>
    <w:rPr>
      <w:rFonts w:ascii="Arial Narrow" w:hAnsi="Arial Narrow"/>
      <w:sz w:val="22"/>
      <w:szCs w:val="22"/>
    </w:rPr>
  </w:style>
  <w:style w:type="paragraph" w:styleId="m-7902852717740613865msolistparagraph" w:customStyle="1">
    <w:name w:val="m_-7902852717740613865msolistparagraph"/>
    <w:basedOn w:val="Normal"/>
    <w:rsid w:val="005178EF"/>
    <w:pPr>
      <w:spacing w:after="100" w:afterAutospacing="1" w:before="100" w:beforeAutospacing="1"/>
    </w:pPr>
    <w:rPr>
      <w:lang w:eastAsia="es-ES" w:val="es-ES"/>
    </w:rPr>
  </w:style>
  <w:style w:type="table" w:styleId="Tablaconcuadrculaclara">
    <w:name w:val="Grid Table Light"/>
    <w:basedOn w:val="Tablanormal"/>
    <w:uiPriority w:val="40"/>
    <w:rsid w:val="00A02E4E"/>
    <w:rPr>
      <w:kern w:val="2"/>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Subtitle">
    <w:name w:val="Subtitle"/>
    <w:basedOn w:val="Normal"/>
    <w:next w:val="Normal"/>
    <w:pPr/>
    <w:rPr>
      <w:rFonts w:ascii="Arial" w:cs="Arial" w:eastAsia="Arial" w:hAnsi="Arial"/>
      <w:b w:val="1"/>
      <w:bCs w:val="1"/>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owl5Ui+vif8ddG1cUTedzRBWiQ==">CgMxLjA4AHIhMTVoY1FTZ0VvZ0VqSkZ4bkk0eS1rS18tSFNkd3dhNE8w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2026-08-22T01:59:00Z</dcterms:created>
  <dc:creator>Elyta Vásquez</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0x010100A9D4B2C83D825343A17DC49181A6793A</vt:lpwstr>
  </property>
  <property fmtid="{D5CDD505-2E9C-101B-9397-08002B2CF9AE}" pid="3" name="MediaServiceImageTags">
    <vt:lpwstr/>
  </property>
  <property fmtid="{D5CDD505-2E9C-101B-9397-08002B2CF9AE}" pid="4" name="Order">
    <vt:r8>4800.0</vt:r8>
  </property>
  <property fmtid="{D5CDD505-2E9C-101B-9397-08002B2CF9AE}" pid="5" name="xd_Signature">
    <vt:bool>false</vt:bool>
  </property>
  <property fmtid="{D5CDD505-2E9C-101B-9397-08002B2CF9AE}" pid="6" name="SharedWithUsers">
    <vt:lpwstr>6;#Victoria Acevedo D;#11;#María Cristina Plaza M.;#13;#Emilio gonzalo Soto Rojas;#10;#Carlos Gonzalez C.;#14;#Guillermoeugenio Pinto Fuentes</vt:lpwstr>
  </property>
  <property fmtid="{D5CDD505-2E9C-101B-9397-08002B2CF9AE}" pid="7" name="xd_ProgID">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ies>
</file>