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02E8" w14:textId="77777777" w:rsidR="00883D35" w:rsidRDefault="00000000">
      <w:pPr>
        <w:jc w:val="center"/>
      </w:pPr>
      <w:r>
        <w:rPr>
          <w:rFonts w:ascii="Aptos Display" w:hAnsi="Aptos Display"/>
          <w:b/>
          <w:color w:val="1F4E79"/>
          <w:sz w:val="56"/>
        </w:rPr>
        <w:t>V7.5 Design Record</w:t>
      </w:r>
    </w:p>
    <w:p w14:paraId="07166F34" w14:textId="77777777" w:rsidR="00883D35" w:rsidRDefault="00000000">
      <w:pPr>
        <w:jc w:val="center"/>
      </w:pPr>
      <w:r>
        <w:rPr>
          <w:i/>
          <w:color w:val="595959"/>
          <w:sz w:val="28"/>
        </w:rPr>
        <w:t>From annotation detection to risk-aware correction</w:t>
      </w:r>
    </w:p>
    <w:p w14:paraId="02B4C72E" w14:textId="77777777" w:rsidR="00883D35" w:rsidRDefault="00000000">
      <w:pPr>
        <w:jc w:val="center"/>
      </w:pPr>
      <w:r>
        <w:rPr>
          <w:sz w:val="20"/>
        </w:rPr>
        <w:t>Music Annotation Project | 11 October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83D35" w14:paraId="6A19148C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6C49E668" w14:textId="77777777" w:rsidR="00883D35" w:rsidRDefault="00000000">
            <w:pPr>
              <w:spacing w:after="0"/>
            </w:pPr>
            <w:r>
              <w:rPr>
                <w:b/>
                <w:color w:val="1F4E79"/>
              </w:rPr>
              <w:t>Core decision: keep annotation confidence and correction safety as separate axes. High confidence that a mark is annotation does not imply high confidence that it can be removed safely.</w:t>
            </w:r>
          </w:p>
        </w:tc>
      </w:tr>
    </w:tbl>
    <w:p w14:paraId="5F363DDC" w14:textId="77777777" w:rsidR="00883D35" w:rsidRDefault="00000000">
      <w:pPr>
        <w:pStyle w:val="Heading1"/>
      </w:pPr>
      <w:r>
        <w:t>1. Why this design changed</w:t>
      </w:r>
    </w:p>
    <w:p w14:paraId="3EF01C8E" w14:textId="77777777" w:rsidR="00883D35" w:rsidRDefault="00000000">
      <w:r>
        <w:t>The reconstruction work initially concentrated on what to do inside a known removal mask. V7.4.1 showed that unrestricted inpainting can damage observable printed music, while tonal suppression preserves structure but may retain dark pencil. That led to V7.5: preserve confidently observed printed geometry exactly, remove confidently non-structural annotation, and restrict reconstruction to ambiguous areas.</w:t>
      </w:r>
    </w:p>
    <w:p w14:paraId="1C844230" w14:textId="77777777" w:rsidR="00883D35" w:rsidRDefault="00000000">
      <w:r>
        <w:t>A subsequent design review clarified a second distinction. The trained YOLO model answers where annotation is likely to exist. The surrounding-area decision tree answers whether a proposed correction is safe in that local musical context. These are related inputs, but they are not interchangeable.</w:t>
      </w:r>
    </w:p>
    <w:p w14:paraId="18EBF3AC" w14:textId="77777777" w:rsidR="00883D35" w:rsidRDefault="00000000">
      <w:pPr>
        <w:pStyle w:val="Heading1"/>
      </w:pPr>
      <w:r>
        <w:t>2. Existing project building blocks</w:t>
      </w:r>
    </w:p>
    <w:p w14:paraId="2EEFC4DC" w14:textId="77777777" w:rsidR="00883D35" w:rsidRDefault="00000000">
      <w:pPr>
        <w:pStyle w:val="ListBullet"/>
      </w:pPr>
      <w:r>
        <w:t>YOLO segmentation training produces a best checkpoint for annotation detection.</w:t>
      </w:r>
    </w:p>
    <w:p w14:paraId="3F5FE850" w14:textId="77777777" w:rsidR="00883D35" w:rsidRDefault="00000000">
      <w:pPr>
        <w:pStyle w:val="ListBullet"/>
      </w:pPr>
      <w:r>
        <w:t>The HITL confidence generator saves both a binary draft mask and a continuous pixel confidence map.</w:t>
      </w:r>
    </w:p>
    <w:p w14:paraId="5D602E56" w14:textId="77777777" w:rsidR="00883D35" w:rsidRDefault="00000000">
      <w:pPr>
        <w:pStyle w:val="ListBullet"/>
      </w:pPr>
      <w:r>
        <w:t>The CPU reviewer displays confidence as a heatmap and allows additions and erasures before saving a corrected mask.</w:t>
      </w:r>
    </w:p>
    <w:p w14:paraId="4DDE7AF3" w14:textId="77777777" w:rsidR="00883D35" w:rsidRDefault="00000000">
      <w:pPr>
        <w:pStyle w:val="ListBullet"/>
      </w:pPr>
      <w:r>
        <w:t>Notebook 09 can prefer corrected masks and can fall back to YOLO mask generation, while keeping pixels outside the removal mask unchanged.</w:t>
      </w:r>
    </w:p>
    <w:p w14:paraId="6B1F90B8" w14:textId="77777777" w:rsidR="00883D35" w:rsidRDefault="00000000">
      <w:pPr>
        <w:pStyle w:val="ListBullet"/>
      </w:pPr>
      <w:r>
        <w:t>The reconstruction benchmark separates background, staff, symbol and mixed regions and prohibits clean-target leakage into reconstruction.</w:t>
      </w:r>
    </w:p>
    <w:p w14:paraId="34FFD7E2" w14:textId="77777777" w:rsidR="00883D35" w:rsidRDefault="00000000">
      <w:pPr>
        <w:pStyle w:val="Heading1"/>
      </w:pPr>
      <w:r>
        <w:t>3. The two-axis framework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528"/>
        <w:gridCol w:w="3528"/>
      </w:tblGrid>
      <w:tr w:rsidR="00883D35" w14:paraId="0C11C5E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609C873" w14:textId="77777777" w:rsidR="00883D35" w:rsidRDefault="00000000">
            <w:r>
              <w:rPr>
                <w:b/>
              </w:rPr>
              <w:t>Axis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05BCB54" w14:textId="77777777" w:rsidR="00883D35" w:rsidRDefault="00000000">
            <w:r>
              <w:rPr>
                <w:b/>
              </w:rPr>
              <w:t>Question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C943067" w14:textId="77777777" w:rsidR="00883D35" w:rsidRDefault="00000000">
            <w:r>
              <w:rPr>
                <w:b/>
              </w:rPr>
              <w:t>Evidence family</w:t>
            </w:r>
          </w:p>
        </w:tc>
      </w:tr>
      <w:tr w:rsidR="00883D35" w14:paraId="75C448F0" w14:textId="77777777">
        <w:trPr>
          <w:jc w:val="center"/>
        </w:trPr>
        <w:tc>
          <w:tcPr>
            <w:tcW w:w="2232" w:type="dxa"/>
            <w:vAlign w:val="center"/>
          </w:tcPr>
          <w:p w14:paraId="20E2B4CB" w14:textId="77777777" w:rsidR="00883D35" w:rsidRDefault="00000000">
            <w:r>
              <w:t>Annotation confidence</w:t>
            </w:r>
          </w:p>
        </w:tc>
        <w:tc>
          <w:tcPr>
            <w:tcW w:w="3528" w:type="dxa"/>
            <w:vAlign w:val="center"/>
          </w:tcPr>
          <w:p w14:paraId="343EA338" w14:textId="77777777" w:rsidR="00883D35" w:rsidRDefault="00000000">
            <w:r>
              <w:t>How certain are we that the proposed area is annotation?</w:t>
            </w:r>
          </w:p>
        </w:tc>
        <w:tc>
          <w:tcPr>
            <w:tcW w:w="3528" w:type="dxa"/>
            <w:vAlign w:val="center"/>
          </w:tcPr>
          <w:p w14:paraId="62085C28" w14:textId="77777777" w:rsidR="00883D35" w:rsidRDefault="00000000">
            <w:r>
              <w:t>YOLO pixel confidence; instance confidence; overlap/tile agreement; hard-negative behaviour; later model calibration.</w:t>
            </w:r>
          </w:p>
        </w:tc>
      </w:tr>
      <w:tr w:rsidR="00883D35" w14:paraId="630C14A7" w14:textId="77777777">
        <w:trPr>
          <w:jc w:val="center"/>
        </w:trPr>
        <w:tc>
          <w:tcPr>
            <w:tcW w:w="2232" w:type="dxa"/>
            <w:vAlign w:val="center"/>
          </w:tcPr>
          <w:p w14:paraId="062F1A4C" w14:textId="77777777" w:rsidR="00883D35" w:rsidRDefault="00000000">
            <w:r>
              <w:t>Correction safety</w:t>
            </w:r>
          </w:p>
        </w:tc>
        <w:tc>
          <w:tcPr>
            <w:tcW w:w="3528" w:type="dxa"/>
            <w:vAlign w:val="center"/>
          </w:tcPr>
          <w:p w14:paraId="581099DE" w14:textId="77777777" w:rsidR="00883D35" w:rsidRDefault="00000000">
            <w:r>
              <w:t>How certain are we that changing this area will not damage printed music?</w:t>
            </w:r>
          </w:p>
        </w:tc>
        <w:tc>
          <w:tcPr>
            <w:tcW w:w="3528" w:type="dxa"/>
            <w:vAlign w:val="center"/>
          </w:tcPr>
          <w:p w14:paraId="0FEBC5B3" w14:textId="77777777" w:rsidR="00883D35" w:rsidRDefault="00000000">
            <w:r>
              <w:t>Staff, stem, bar-line and compact-glyph continuity; geometry crossing; local ink density; mask depth; component shape; ambiguity and reconstruction dependence.</w:t>
            </w:r>
          </w:p>
        </w:tc>
      </w:tr>
    </w:tbl>
    <w:p w14:paraId="61814673" w14:textId="77777777" w:rsidR="00883D35" w:rsidRDefault="00000000">
      <w:pPr>
        <w:pStyle w:val="Heading1"/>
      </w:pPr>
      <w:r>
        <w:lastRenderedPageBreak/>
        <w:t>4. Behavioural matrix for the future GUI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3D35" w14:paraId="6C5084FC" w14:textId="77777777">
        <w:trPr>
          <w:jc w:val="center"/>
        </w:trPr>
        <w:tc>
          <w:tcPr>
            <w:tcW w:w="3312" w:type="dxa"/>
          </w:tcPr>
          <w:p w14:paraId="37788651" w14:textId="77777777" w:rsidR="00883D35" w:rsidRDefault="00000000">
            <w:r>
              <w:rPr>
                <w:b/>
              </w:rPr>
              <w:t>Annotation confidence</w:t>
            </w:r>
          </w:p>
        </w:tc>
        <w:tc>
          <w:tcPr>
            <w:tcW w:w="3312" w:type="dxa"/>
          </w:tcPr>
          <w:p w14:paraId="25C5916B" w14:textId="77777777" w:rsidR="00883D35" w:rsidRDefault="00000000">
            <w:r>
              <w:rPr>
                <w:b/>
              </w:rPr>
              <w:t>Correction safety</w:t>
            </w:r>
          </w:p>
        </w:tc>
        <w:tc>
          <w:tcPr>
            <w:tcW w:w="3312" w:type="dxa"/>
          </w:tcPr>
          <w:p w14:paraId="27686DFF" w14:textId="77777777" w:rsidR="00883D35" w:rsidRDefault="00000000">
            <w:r>
              <w:rPr>
                <w:b/>
              </w:rPr>
              <w:t>Proposed treatment</w:t>
            </w:r>
          </w:p>
        </w:tc>
      </w:tr>
      <w:tr w:rsidR="00883D35" w14:paraId="30EB76A4" w14:textId="77777777">
        <w:trPr>
          <w:jc w:val="center"/>
        </w:trPr>
        <w:tc>
          <w:tcPr>
            <w:tcW w:w="3312" w:type="dxa"/>
          </w:tcPr>
          <w:p w14:paraId="680A9DF9" w14:textId="77777777" w:rsidR="00883D35" w:rsidRDefault="00000000">
            <w:r>
              <w:t>High</w:t>
            </w:r>
          </w:p>
        </w:tc>
        <w:tc>
          <w:tcPr>
            <w:tcW w:w="3312" w:type="dxa"/>
          </w:tcPr>
          <w:p w14:paraId="7A5B3EFB" w14:textId="77777777" w:rsidR="00883D35" w:rsidRDefault="00000000">
            <w:r>
              <w:t>High</w:t>
            </w:r>
          </w:p>
        </w:tc>
        <w:tc>
          <w:tcPr>
            <w:tcW w:w="3312" w:type="dxa"/>
          </w:tcPr>
          <w:p w14:paraId="198C281C" w14:textId="77777777" w:rsidR="00883D35" w:rsidRDefault="00000000">
            <w:r>
              <w:t>Auto-accept only after thresholds have been validated on independent data.</w:t>
            </w:r>
          </w:p>
        </w:tc>
      </w:tr>
      <w:tr w:rsidR="00883D35" w14:paraId="7CCB917F" w14:textId="77777777">
        <w:trPr>
          <w:jc w:val="center"/>
        </w:trPr>
        <w:tc>
          <w:tcPr>
            <w:tcW w:w="3312" w:type="dxa"/>
          </w:tcPr>
          <w:p w14:paraId="54333B75" w14:textId="77777777" w:rsidR="00883D35" w:rsidRDefault="00000000">
            <w:r>
              <w:t>High</w:t>
            </w:r>
          </w:p>
        </w:tc>
        <w:tc>
          <w:tcPr>
            <w:tcW w:w="3312" w:type="dxa"/>
          </w:tcPr>
          <w:p w14:paraId="4C7CD517" w14:textId="77777777" w:rsidR="00883D35" w:rsidRDefault="00000000">
            <w:r>
              <w:t>Low or ambiguous</w:t>
            </w:r>
          </w:p>
        </w:tc>
        <w:tc>
          <w:tcPr>
            <w:tcW w:w="3312" w:type="dxa"/>
          </w:tcPr>
          <w:p w14:paraId="6C07A82C" w14:textId="77777777" w:rsidR="00883D35" w:rsidRDefault="00000000">
            <w:r>
              <w:t>Review. The system probably found annotation, but removal may cross musical structure.</w:t>
            </w:r>
          </w:p>
        </w:tc>
      </w:tr>
      <w:tr w:rsidR="00883D35" w14:paraId="6C733BA7" w14:textId="77777777">
        <w:trPr>
          <w:jc w:val="center"/>
        </w:trPr>
        <w:tc>
          <w:tcPr>
            <w:tcW w:w="3312" w:type="dxa"/>
          </w:tcPr>
          <w:p w14:paraId="2899BC89" w14:textId="77777777" w:rsidR="00883D35" w:rsidRDefault="00000000">
            <w:r>
              <w:t>Low or medium</w:t>
            </w:r>
          </w:p>
        </w:tc>
        <w:tc>
          <w:tcPr>
            <w:tcW w:w="3312" w:type="dxa"/>
          </w:tcPr>
          <w:p w14:paraId="2CE28FF0" w14:textId="77777777" w:rsidR="00883D35" w:rsidRDefault="00000000">
            <w:r>
              <w:t>High</w:t>
            </w:r>
          </w:p>
        </w:tc>
        <w:tc>
          <w:tcPr>
            <w:tcW w:w="3312" w:type="dxa"/>
          </w:tcPr>
          <w:p w14:paraId="0AB8BE8F" w14:textId="77777777" w:rsidR="00883D35" w:rsidRDefault="00000000">
            <w:r>
              <w:t>Quick accept/reject. The correction itself is simple, but annotation identity remains uncertain.</w:t>
            </w:r>
          </w:p>
        </w:tc>
      </w:tr>
      <w:tr w:rsidR="00883D35" w14:paraId="58F77F50" w14:textId="77777777">
        <w:trPr>
          <w:jc w:val="center"/>
        </w:trPr>
        <w:tc>
          <w:tcPr>
            <w:tcW w:w="3312" w:type="dxa"/>
          </w:tcPr>
          <w:p w14:paraId="1BC46F5B" w14:textId="77777777" w:rsidR="00883D35" w:rsidRDefault="00000000">
            <w:r>
              <w:t>Low</w:t>
            </w:r>
          </w:p>
        </w:tc>
        <w:tc>
          <w:tcPr>
            <w:tcW w:w="3312" w:type="dxa"/>
          </w:tcPr>
          <w:p w14:paraId="59F0A8EF" w14:textId="77777777" w:rsidR="00883D35" w:rsidRDefault="00000000">
            <w:r>
              <w:t>Low</w:t>
            </w:r>
          </w:p>
        </w:tc>
        <w:tc>
          <w:tcPr>
            <w:tcW w:w="3312" w:type="dxa"/>
          </w:tcPr>
          <w:p w14:paraId="008DBF7B" w14:textId="77777777" w:rsidR="00883D35" w:rsidRDefault="00000000">
            <w:r>
              <w:t>Explicit review; candidate for future training data.</w:t>
            </w:r>
          </w:p>
        </w:tc>
      </w:tr>
    </w:tbl>
    <w:p w14:paraId="29DC11A8" w14:textId="77777777" w:rsidR="00883D35" w:rsidRDefault="00000000">
      <w:r>
        <w:t>Important: V7.5 does not implement auto-acceptance. It records surrounding-area evidence so that later work can validate which factors predict safe correction. Any combined score or threshold remains a future, evidence-based step.</w:t>
      </w:r>
    </w:p>
    <w:p w14:paraId="7A9E270E" w14:textId="77777777" w:rsidR="00883D35" w:rsidRDefault="00000000">
      <w:pPr>
        <w:pStyle w:val="Heading1"/>
      </w:pPr>
      <w:r>
        <w:t>5. V7.5 routing principle</w:t>
      </w:r>
    </w:p>
    <w:p w14:paraId="204D39CD" w14:textId="77777777" w:rsidR="00883D35" w:rsidRDefault="00000000">
      <w:pPr>
        <w:pStyle w:val="ListNumber"/>
      </w:pPr>
      <w:r>
        <w:t>Use an existing controlled annotation-removal mask to define where intervention is permitted.</w:t>
      </w:r>
    </w:p>
    <w:p w14:paraId="4DAF2EBC" w14:textId="77777777" w:rsidR="00883D35" w:rsidRDefault="00000000">
      <w:pPr>
        <w:pStyle w:val="ListNumber"/>
      </w:pPr>
      <w:r>
        <w:t>Inside the mask, copy confidently observed printed geometry byte-for-byte.</w:t>
      </w:r>
    </w:p>
    <w:p w14:paraId="54A0C427" w14:textId="77777777" w:rsidR="00883D35" w:rsidRDefault="00000000">
      <w:pPr>
        <w:pStyle w:val="ListNumber"/>
      </w:pPr>
      <w:r>
        <w:t>Replace confidently light, non-structural annotation pixels with a local paper estimate.</w:t>
      </w:r>
    </w:p>
    <w:p w14:paraId="3691EE8D" w14:textId="77777777" w:rsidR="00883D35" w:rsidRDefault="00000000">
      <w:pPr>
        <w:pStyle w:val="ListNumber"/>
      </w:pPr>
      <w:r>
        <w:t>Use reconstruction only for the explicit ambiguous class.</w:t>
      </w:r>
    </w:p>
    <w:p w14:paraId="17795DA8" w14:textId="77777777" w:rsidR="00883D35" w:rsidRDefault="00000000">
      <w:pPr>
        <w:pStyle w:val="ListNumber"/>
      </w:pPr>
      <w:r>
        <w:t>Leave all pixels outside the removal mask byte-for-byte unchanged.</w:t>
      </w:r>
    </w:p>
    <w:p w14:paraId="260AC5FB" w14:textId="77777777" w:rsidR="00883D35" w:rsidRDefault="00000000">
      <w:pPr>
        <w:pStyle w:val="ListNumber"/>
      </w:pPr>
      <w:r>
        <w:t>Record the surrounding-area evidence for each mask component and route, without yet converting it into a production confidence score.</w:t>
      </w:r>
    </w:p>
    <w:p w14:paraId="065A00C2" w14:textId="77777777" w:rsidR="00883D35" w:rsidRDefault="00000000">
      <w:pPr>
        <w:pStyle w:val="Heading1"/>
      </w:pPr>
      <w:r>
        <w:t>6. Surrounding-area evidence now collected in V7.5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3D35" w14:paraId="19DDAACE" w14:textId="77777777">
        <w:trPr>
          <w:jc w:val="center"/>
        </w:trPr>
        <w:tc>
          <w:tcPr>
            <w:tcW w:w="3312" w:type="dxa"/>
          </w:tcPr>
          <w:p w14:paraId="45DBCC65" w14:textId="77777777" w:rsidR="00883D35" w:rsidRDefault="00000000">
            <w:r>
              <w:rPr>
                <w:b/>
              </w:rPr>
              <w:t>Evidence</w:t>
            </w:r>
          </w:p>
        </w:tc>
        <w:tc>
          <w:tcPr>
            <w:tcW w:w="3312" w:type="dxa"/>
          </w:tcPr>
          <w:p w14:paraId="1C3D2831" w14:textId="77777777" w:rsidR="00883D35" w:rsidRDefault="00000000">
            <w:r>
              <w:rPr>
                <w:b/>
              </w:rPr>
              <w:t>Interpretation</w:t>
            </w:r>
          </w:p>
        </w:tc>
        <w:tc>
          <w:tcPr>
            <w:tcW w:w="3312" w:type="dxa"/>
          </w:tcPr>
          <w:p w14:paraId="713BB00C" w14:textId="77777777" w:rsidR="00883D35" w:rsidRDefault="00000000">
            <w:r>
              <w:rPr>
                <w:b/>
              </w:rPr>
              <w:t>Purpose</w:t>
            </w:r>
          </w:p>
        </w:tc>
      </w:tr>
      <w:tr w:rsidR="00883D35" w14:paraId="32EA6E37" w14:textId="77777777">
        <w:trPr>
          <w:jc w:val="center"/>
        </w:trPr>
        <w:tc>
          <w:tcPr>
            <w:tcW w:w="3312" w:type="dxa"/>
          </w:tcPr>
          <w:p w14:paraId="67EE70C8" w14:textId="77777777" w:rsidR="00883D35" w:rsidRDefault="00000000">
            <w:r>
              <w:t>Horizontal support</w:t>
            </w:r>
          </w:p>
        </w:tc>
        <w:tc>
          <w:tcPr>
            <w:tcW w:w="3312" w:type="dxa"/>
          </w:tcPr>
          <w:p w14:paraId="4169A197" w14:textId="77777777" w:rsidR="00883D35" w:rsidRDefault="00000000">
            <w:r>
              <w:t>Dark horizontal geometry continues around or through the component.</w:t>
            </w:r>
          </w:p>
        </w:tc>
        <w:tc>
          <w:tcPr>
            <w:tcW w:w="3312" w:type="dxa"/>
          </w:tcPr>
          <w:p w14:paraId="0C68FE24" w14:textId="77777777" w:rsidR="00883D35" w:rsidRDefault="00000000">
            <w:r>
              <w:t>Evidence of staff lines or printed horizontal rules.</w:t>
            </w:r>
          </w:p>
        </w:tc>
      </w:tr>
      <w:tr w:rsidR="00883D35" w14:paraId="4FC676BF" w14:textId="77777777">
        <w:trPr>
          <w:jc w:val="center"/>
        </w:trPr>
        <w:tc>
          <w:tcPr>
            <w:tcW w:w="3312" w:type="dxa"/>
          </w:tcPr>
          <w:p w14:paraId="6693043A" w14:textId="77777777" w:rsidR="00883D35" w:rsidRDefault="00000000">
            <w:r>
              <w:t>Vertical support</w:t>
            </w:r>
          </w:p>
        </w:tc>
        <w:tc>
          <w:tcPr>
            <w:tcW w:w="3312" w:type="dxa"/>
          </w:tcPr>
          <w:p w14:paraId="31161384" w14:textId="77777777" w:rsidR="00883D35" w:rsidRDefault="00000000">
            <w:r>
              <w:t>Narrow vertical geometry is present around or through the component.</w:t>
            </w:r>
          </w:p>
        </w:tc>
        <w:tc>
          <w:tcPr>
            <w:tcW w:w="3312" w:type="dxa"/>
          </w:tcPr>
          <w:p w14:paraId="36F77EC1" w14:textId="77777777" w:rsidR="00883D35" w:rsidRDefault="00000000">
            <w:r>
              <w:t>Evidence of stems, bar lines or vertical glyph strokes.</w:t>
            </w:r>
          </w:p>
        </w:tc>
      </w:tr>
      <w:tr w:rsidR="00883D35" w14:paraId="286DA77A" w14:textId="77777777">
        <w:trPr>
          <w:jc w:val="center"/>
        </w:trPr>
        <w:tc>
          <w:tcPr>
            <w:tcW w:w="3312" w:type="dxa"/>
          </w:tcPr>
          <w:p w14:paraId="0BC665EA" w14:textId="77777777" w:rsidR="00883D35" w:rsidRDefault="00000000">
            <w:r>
              <w:t>Compact connected support</w:t>
            </w:r>
          </w:p>
        </w:tc>
        <w:tc>
          <w:tcPr>
            <w:tcW w:w="3312" w:type="dxa"/>
          </w:tcPr>
          <w:p w14:paraId="55408465" w14:textId="77777777" w:rsidR="00883D35" w:rsidRDefault="00000000">
            <w:r>
              <w:t>A compact dark component connects from outside the removal mask.</w:t>
            </w:r>
          </w:p>
        </w:tc>
        <w:tc>
          <w:tcPr>
            <w:tcW w:w="3312" w:type="dxa"/>
          </w:tcPr>
          <w:p w14:paraId="2723EDFC" w14:textId="77777777" w:rsidR="00883D35" w:rsidRDefault="00000000">
            <w:r>
              <w:t>Evidence of noteheads and small printed glyphs.</w:t>
            </w:r>
          </w:p>
        </w:tc>
      </w:tr>
      <w:tr w:rsidR="00883D35" w14:paraId="6520A017" w14:textId="77777777">
        <w:trPr>
          <w:jc w:val="center"/>
        </w:trPr>
        <w:tc>
          <w:tcPr>
            <w:tcW w:w="3312" w:type="dxa"/>
          </w:tcPr>
          <w:p w14:paraId="11BEBF60" w14:textId="77777777" w:rsidR="00883D35" w:rsidRDefault="00000000">
            <w:r>
              <w:t>Visible-edge density</w:t>
            </w:r>
          </w:p>
        </w:tc>
        <w:tc>
          <w:tcPr>
            <w:tcW w:w="3312" w:type="dxa"/>
          </w:tcPr>
          <w:p w14:paraId="5DC0875C" w14:textId="77777777" w:rsidR="00883D35" w:rsidRDefault="00000000">
            <w:r>
              <w:t>Edge density in a ring immediately outside the component.</w:t>
            </w:r>
          </w:p>
        </w:tc>
        <w:tc>
          <w:tcPr>
            <w:tcW w:w="3312" w:type="dxa"/>
          </w:tcPr>
          <w:p w14:paraId="3E15CB2F" w14:textId="77777777" w:rsidR="00883D35" w:rsidRDefault="00000000">
            <w:r>
              <w:t>Measures structural complexity surrounding the correction.</w:t>
            </w:r>
          </w:p>
        </w:tc>
      </w:tr>
      <w:tr w:rsidR="00883D35" w14:paraId="62225EEB" w14:textId="77777777">
        <w:trPr>
          <w:jc w:val="center"/>
        </w:trPr>
        <w:tc>
          <w:tcPr>
            <w:tcW w:w="3312" w:type="dxa"/>
          </w:tcPr>
          <w:p w14:paraId="2FAA8047" w14:textId="77777777" w:rsidR="00883D35" w:rsidRDefault="00000000">
            <w:r>
              <w:t>Dark-ink density</w:t>
            </w:r>
          </w:p>
        </w:tc>
        <w:tc>
          <w:tcPr>
            <w:tcW w:w="3312" w:type="dxa"/>
          </w:tcPr>
          <w:p w14:paraId="3B07E92D" w14:textId="77777777" w:rsidR="00883D35" w:rsidRDefault="00000000">
            <w:r>
              <w:t>Fraction of nearby ring pixels below a dark threshold.</w:t>
            </w:r>
          </w:p>
        </w:tc>
        <w:tc>
          <w:tcPr>
            <w:tcW w:w="3312" w:type="dxa"/>
          </w:tcPr>
          <w:p w14:paraId="398944D5" w14:textId="77777777" w:rsidR="00883D35" w:rsidRDefault="00000000">
            <w:r>
              <w:t>Measures how much printed or dark material surrounds the proposed correction.</w:t>
            </w:r>
          </w:p>
        </w:tc>
      </w:tr>
      <w:tr w:rsidR="00883D35" w14:paraId="09B782E7" w14:textId="77777777">
        <w:trPr>
          <w:jc w:val="center"/>
        </w:trPr>
        <w:tc>
          <w:tcPr>
            <w:tcW w:w="3312" w:type="dxa"/>
          </w:tcPr>
          <w:p w14:paraId="5BA03868" w14:textId="77777777" w:rsidR="00883D35" w:rsidRDefault="00000000">
            <w:r>
              <w:t>Staff proximity</w:t>
            </w:r>
          </w:p>
        </w:tc>
        <w:tc>
          <w:tcPr>
            <w:tcW w:w="3312" w:type="dxa"/>
          </w:tcPr>
          <w:p w14:paraId="2CA0E239" w14:textId="77777777" w:rsidR="00883D35" w:rsidRDefault="00000000">
            <w:r>
              <w:t>Distance from the component to detected horizontal musical structure.</w:t>
            </w:r>
          </w:p>
        </w:tc>
        <w:tc>
          <w:tcPr>
            <w:tcW w:w="3312" w:type="dxa"/>
          </w:tcPr>
          <w:p w14:paraId="33136286" w14:textId="77777777" w:rsidR="00883D35" w:rsidRDefault="00000000">
            <w:r>
              <w:t>Flags correction close to staff geometry.</w:t>
            </w:r>
          </w:p>
        </w:tc>
      </w:tr>
      <w:tr w:rsidR="00883D35" w14:paraId="41192D9B" w14:textId="77777777">
        <w:trPr>
          <w:jc w:val="center"/>
        </w:trPr>
        <w:tc>
          <w:tcPr>
            <w:tcW w:w="3312" w:type="dxa"/>
          </w:tcPr>
          <w:p w14:paraId="602591B0" w14:textId="77777777" w:rsidR="00883D35" w:rsidRDefault="00000000">
            <w:r>
              <w:t>Mask depth</w:t>
            </w:r>
          </w:p>
        </w:tc>
        <w:tc>
          <w:tcPr>
            <w:tcW w:w="3312" w:type="dxa"/>
          </w:tcPr>
          <w:p w14:paraId="1C52E881" w14:textId="77777777" w:rsidR="00883D35" w:rsidRDefault="00000000">
            <w:r>
              <w:t xml:space="preserve">Maximum distance from the </w:t>
            </w:r>
            <w:r>
              <w:lastRenderedPageBreak/>
              <w:t>component boundary into the mask.</w:t>
            </w:r>
          </w:p>
        </w:tc>
        <w:tc>
          <w:tcPr>
            <w:tcW w:w="3312" w:type="dxa"/>
          </w:tcPr>
          <w:p w14:paraId="33AE4EFE" w14:textId="77777777" w:rsidR="00883D35" w:rsidRDefault="00000000">
            <w:r>
              <w:lastRenderedPageBreak/>
              <w:t xml:space="preserve">Large/deep masks contain less </w:t>
            </w:r>
            <w:r>
              <w:lastRenderedPageBreak/>
              <w:t>observable local evidence.</w:t>
            </w:r>
          </w:p>
        </w:tc>
      </w:tr>
      <w:tr w:rsidR="00883D35" w14:paraId="53B344F9" w14:textId="77777777">
        <w:trPr>
          <w:jc w:val="center"/>
        </w:trPr>
        <w:tc>
          <w:tcPr>
            <w:tcW w:w="3312" w:type="dxa"/>
          </w:tcPr>
          <w:p w14:paraId="7DF76A26" w14:textId="77777777" w:rsidR="00883D35" w:rsidRDefault="00000000">
            <w:r>
              <w:lastRenderedPageBreak/>
              <w:t>Border contact</w:t>
            </w:r>
          </w:p>
        </w:tc>
        <w:tc>
          <w:tcPr>
            <w:tcW w:w="3312" w:type="dxa"/>
          </w:tcPr>
          <w:p w14:paraId="17B021A7" w14:textId="77777777" w:rsidR="00883D35" w:rsidRDefault="00000000">
            <w:r>
              <w:t>Whether the component reaches a page boundary.</w:t>
            </w:r>
          </w:p>
        </w:tc>
        <w:tc>
          <w:tcPr>
            <w:tcW w:w="3312" w:type="dxa"/>
          </w:tcPr>
          <w:p w14:paraId="5B07C23B" w14:textId="77777777" w:rsidR="00883D35" w:rsidRDefault="00000000">
            <w:r>
              <w:t>Boundary cases may have weaker surrounding evidence.</w:t>
            </w:r>
          </w:p>
        </w:tc>
      </w:tr>
      <w:tr w:rsidR="00883D35" w14:paraId="09445C6A" w14:textId="77777777">
        <w:trPr>
          <w:jc w:val="center"/>
        </w:trPr>
        <w:tc>
          <w:tcPr>
            <w:tcW w:w="3312" w:type="dxa"/>
          </w:tcPr>
          <w:p w14:paraId="1F69E1BF" w14:textId="77777777" w:rsidR="00883D35" w:rsidRDefault="00000000">
            <w:r>
              <w:t>Component geometry</w:t>
            </w:r>
          </w:p>
        </w:tc>
        <w:tc>
          <w:tcPr>
            <w:tcW w:w="3312" w:type="dxa"/>
          </w:tcPr>
          <w:p w14:paraId="3C061555" w14:textId="77777777" w:rsidR="00883D35" w:rsidRDefault="00000000">
            <w:r>
              <w:t>Area, bounding-box dimensions, aspect ratio and fill ratio.</w:t>
            </w:r>
          </w:p>
        </w:tc>
        <w:tc>
          <w:tcPr>
            <w:tcW w:w="3312" w:type="dxa"/>
          </w:tcPr>
          <w:p w14:paraId="506D3984" w14:textId="77777777" w:rsidR="00883D35" w:rsidRDefault="00000000">
            <w:r>
              <w:t>Supports later distinction between compact marks, strokes and broad masks.</w:t>
            </w:r>
          </w:p>
        </w:tc>
      </w:tr>
      <w:tr w:rsidR="00883D35" w14:paraId="6809F01A" w14:textId="77777777">
        <w:trPr>
          <w:jc w:val="center"/>
        </w:trPr>
        <w:tc>
          <w:tcPr>
            <w:tcW w:w="3312" w:type="dxa"/>
          </w:tcPr>
          <w:p w14:paraId="1E9A11B9" w14:textId="77777777" w:rsidR="00883D35" w:rsidRDefault="00000000">
            <w:r>
              <w:t>Routing fractions</w:t>
            </w:r>
          </w:p>
        </w:tc>
        <w:tc>
          <w:tcPr>
            <w:tcW w:w="3312" w:type="dxa"/>
          </w:tcPr>
          <w:p w14:paraId="17A69710" w14:textId="77777777" w:rsidR="00883D35" w:rsidRDefault="00000000">
            <w:r>
              <w:t>Preserve, remove and ambiguous proportions for each component.</w:t>
            </w:r>
          </w:p>
        </w:tc>
        <w:tc>
          <w:tcPr>
            <w:tcW w:w="3312" w:type="dxa"/>
          </w:tcPr>
          <w:p w14:paraId="6CFE04C5" w14:textId="77777777" w:rsidR="00883D35" w:rsidRDefault="00000000">
            <w:r>
              <w:t>Shows how dependent the correction is on exact copying, whitening or reconstruction.</w:t>
            </w:r>
          </w:p>
        </w:tc>
      </w:tr>
      <w:tr w:rsidR="00883D35" w14:paraId="56A39555" w14:textId="77777777">
        <w:trPr>
          <w:jc w:val="center"/>
        </w:trPr>
        <w:tc>
          <w:tcPr>
            <w:tcW w:w="3312" w:type="dxa"/>
          </w:tcPr>
          <w:p w14:paraId="604CFD12" w14:textId="77777777" w:rsidR="00883D35" w:rsidRDefault="00000000">
            <w:r>
              <w:t>Clean-truth diagnostics</w:t>
            </w:r>
          </w:p>
        </w:tc>
        <w:tc>
          <w:tcPr>
            <w:tcW w:w="3312" w:type="dxa"/>
          </w:tcPr>
          <w:p w14:paraId="04957D66" w14:textId="77777777" w:rsidR="00883D35" w:rsidRDefault="00000000">
            <w:r>
              <w:t>Post-hoc printed-ink fractions for validation only.</w:t>
            </w:r>
          </w:p>
        </w:tc>
        <w:tc>
          <w:tcPr>
            <w:tcW w:w="3312" w:type="dxa"/>
          </w:tcPr>
          <w:p w14:paraId="75F86E12" w14:textId="77777777" w:rsidR="00883D35" w:rsidRDefault="00000000">
            <w:r>
              <w:t>Labels which evidence patterns actually correspond to printed structure, without leaking clean truth into reconstruction.</w:t>
            </w:r>
          </w:p>
        </w:tc>
      </w:tr>
    </w:tbl>
    <w:p w14:paraId="5CA4D430" w14:textId="77777777" w:rsidR="00883D35" w:rsidRDefault="00000000">
      <w:pPr>
        <w:pStyle w:val="Heading1"/>
      </w:pPr>
      <w:r>
        <w:t>7. Data products added to V7.5</w:t>
      </w:r>
    </w:p>
    <w:p w14:paraId="3A6D2E5F" w14:textId="77777777" w:rsidR="00883D35" w:rsidRDefault="00000000">
      <w:pPr>
        <w:pStyle w:val="ListBullet"/>
      </w:pPr>
      <w:r>
        <w:t>`surrounding_area_evidence_by_component.csv`: one record per mask component and candidate threshold, including geometry, context and routing evidence.</w:t>
      </w:r>
    </w:p>
    <w:p w14:paraId="0998D2CC" w14:textId="77777777" w:rsidR="00883D35" w:rsidRDefault="00000000">
      <w:pPr>
        <w:pStyle w:val="ListBullet"/>
      </w:pPr>
      <w:r>
        <w:t>`surrounding_area_evidence_summary.csv`: aggregate distributions by candidate threshold.</w:t>
      </w:r>
    </w:p>
    <w:p w14:paraId="46DB9F3F" w14:textId="77777777" w:rsidR="00883D35" w:rsidRDefault="00000000">
      <w:pPr>
        <w:pStyle w:val="ListBullet"/>
      </w:pPr>
      <w:r>
        <w:t>`surrounding_evidence_truth_diagnostics.csv`: post-hoc clean-target diagnostics used only to assess evidence quality.</w:t>
      </w:r>
    </w:p>
    <w:p w14:paraId="72790422" w14:textId="77777777" w:rsidR="00883D35" w:rsidRDefault="00000000">
      <w:pPr>
        <w:pStyle w:val="ListBullet"/>
      </w:pPr>
      <w:r>
        <w:t>Existing routing maps and route truth summaries remain available for visual and quantitative validation.</w:t>
      </w:r>
    </w:p>
    <w:p w14:paraId="27A07ACC" w14:textId="77777777" w:rsidR="00883D35" w:rsidRDefault="00000000">
      <w:pPr>
        <w:pStyle w:val="Heading1"/>
      </w:pPr>
      <w:r>
        <w:t>8. Guardrails</w:t>
      </w:r>
    </w:p>
    <w:p w14:paraId="5293B40F" w14:textId="77777777" w:rsidR="00883D35" w:rsidRDefault="00000000">
      <w:pPr>
        <w:pStyle w:val="ListBullet"/>
      </w:pPr>
      <w:r>
        <w:t>Corrected or controlled masks remain the boundary of permissible intervention. Surrounding-area analysis does not search the whole page for grey pixels to remove.</w:t>
      </w:r>
    </w:p>
    <w:p w14:paraId="076F7606" w14:textId="77777777" w:rsidR="00883D35" w:rsidRDefault="00000000">
      <w:pPr>
        <w:pStyle w:val="ListBullet"/>
      </w:pPr>
      <w:r>
        <w:t>YOLO confidence must not override a reviewed corrected mask.</w:t>
      </w:r>
    </w:p>
    <w:p w14:paraId="5A0F7E19" w14:textId="77777777" w:rsidR="00883D35" w:rsidRDefault="00000000">
      <w:pPr>
        <w:pStyle w:val="ListBullet"/>
      </w:pPr>
      <w:r>
        <w:t>Clean targets are used only after reconstruction for scoring and diagnostics.</w:t>
      </w:r>
    </w:p>
    <w:p w14:paraId="1F656E95" w14:textId="77777777" w:rsidR="00883D35" w:rsidRDefault="00000000">
      <w:pPr>
        <w:pStyle w:val="ListBullet"/>
      </w:pPr>
      <w:r>
        <w:t>No combined decision-confidence score is emitted in V7.5.</w:t>
      </w:r>
    </w:p>
    <w:p w14:paraId="11501A61" w14:textId="77777777" w:rsidR="00883D35" w:rsidRDefault="00000000">
      <w:pPr>
        <w:pStyle w:val="ListBullet"/>
      </w:pPr>
      <w:r>
        <w:t>No auto-accept threshold is set until independent validation demonstrates acceptable false-positive and structural-risk behaviour.</w:t>
      </w:r>
    </w:p>
    <w:p w14:paraId="4910C352" w14:textId="77777777" w:rsidR="00883D35" w:rsidRDefault="00000000">
      <w:pPr>
        <w:pStyle w:val="ListBullet"/>
      </w:pPr>
      <w:r>
        <w:t>Improved YOLO models should move more cases through fixed safety gates; the safety standard should not be weakened to increase automation.</w:t>
      </w:r>
    </w:p>
    <w:p w14:paraId="2321F097" w14:textId="77777777" w:rsidR="00883D35" w:rsidRDefault="00000000">
      <w:pPr>
        <w:pStyle w:val="Heading1"/>
      </w:pPr>
      <w:r>
        <w:t>9. Future Notebook 09 direction</w:t>
      </w:r>
    </w:p>
    <w:p w14:paraId="6817957D" w14:textId="77777777" w:rsidR="00883D35" w:rsidRDefault="00000000">
      <w:r>
        <w:t>The eventual visual Notebook 09 should present proposed corrections by exception rather than requiring a full-page manual pass. A likely progression is:</w:t>
      </w:r>
    </w:p>
    <w:p w14:paraId="6BCEC4EF" w14:textId="77777777" w:rsidR="00883D35" w:rsidRDefault="00000000">
      <w:pPr>
        <w:pStyle w:val="ListNumber"/>
      </w:pPr>
      <w:r>
        <w:t>Current: predict, manually correct the mask, reconstruct, then inspect.</w:t>
      </w:r>
    </w:p>
    <w:p w14:paraId="7665ED92" w14:textId="77777777" w:rsidR="00883D35" w:rsidRDefault="00000000">
      <w:pPr>
        <w:pStyle w:val="ListNumber"/>
      </w:pPr>
      <w:r>
        <w:t>Intermediate: predict and reconstruct, auto-group regions by annotation confidence and correction safety, then show uncertain or risky regions for accept/correct review.</w:t>
      </w:r>
    </w:p>
    <w:p w14:paraId="3F57F7D8" w14:textId="77777777" w:rsidR="00883D35" w:rsidRDefault="00000000">
      <w:pPr>
        <w:pStyle w:val="ListNumber"/>
      </w:pPr>
      <w:r>
        <w:t>Mature: auto-accept independently validated high/high regions, queue exceptional regions, and preserve manual work primarily for difficult cases and model-training feedback.</w:t>
      </w:r>
    </w:p>
    <w:p w14:paraId="2CCBF269" w14:textId="77777777" w:rsidR="00883D35" w:rsidRDefault="00000000">
      <w:r>
        <w:lastRenderedPageBreak/>
        <w:t>The eventual audit record should preserve the YOLO confidence map, authoritative annotation mask, surrounding-area evidence/routing map, proposed corrected image, model and settings fingerprints, and the human decision where review occurred.</w:t>
      </w:r>
    </w:p>
    <w:p w14:paraId="271F70ED" w14:textId="77777777" w:rsidR="00883D35" w:rsidRDefault="00000000">
      <w:pPr>
        <w:pStyle w:val="Heading1"/>
      </w:pPr>
      <w:r>
        <w:t>10. Open questions for later validation</w:t>
      </w:r>
    </w:p>
    <w:p w14:paraId="7C3BF236" w14:textId="77777777" w:rsidR="00883D35" w:rsidRDefault="00000000">
      <w:pPr>
        <w:pStyle w:val="ListBullet"/>
      </w:pPr>
      <w:r>
        <w:t>Which surrounding-area evidence variables best predict damage to staff, stem, notehead and glyph structure?</w:t>
      </w:r>
    </w:p>
    <w:p w14:paraId="22C7F1B6" w14:textId="77777777" w:rsidR="00883D35" w:rsidRDefault="00000000">
      <w:pPr>
        <w:pStyle w:val="ListBullet"/>
      </w:pPr>
      <w:r>
        <w:t>Should evidence be calibrated at pixel, connected-component or proposed-correction-region level?</w:t>
      </w:r>
    </w:p>
    <w:p w14:paraId="6B90A2C3" w14:textId="77777777" w:rsidR="00883D35" w:rsidRDefault="00000000">
      <w:pPr>
        <w:pStyle w:val="ListBullet"/>
      </w:pPr>
      <w:r>
        <w:t>How should overlapping-tile agreement be retained alongside maximum YOLO confidence?</w:t>
      </w:r>
    </w:p>
    <w:p w14:paraId="26C11644" w14:textId="77777777" w:rsidR="00883D35" w:rsidRDefault="00000000">
      <w:pPr>
        <w:pStyle w:val="ListBullet"/>
      </w:pPr>
      <w:r>
        <w:t>What independent test set is large and diverse enough to justify auto-acceptance?</w:t>
      </w:r>
    </w:p>
    <w:p w14:paraId="587FF941" w14:textId="77777777" w:rsidR="00883D35" w:rsidRDefault="00000000">
      <w:pPr>
        <w:pStyle w:val="ListBullet"/>
      </w:pPr>
      <w:r>
        <w:t>What failure rate is acceptable for plain-paper corrections versus notation-crossing corrections?</w:t>
      </w:r>
    </w:p>
    <w:p w14:paraId="408A288D" w14:textId="77777777" w:rsidR="00883D35" w:rsidRDefault="00000000">
      <w:pPr>
        <w:pStyle w:val="ListBullet"/>
      </w:pPr>
      <w:r>
        <w:t>When should low correction safety lead to “leave unchanged” rather than reconstruction?</w:t>
      </w:r>
    </w:p>
    <w:p w14:paraId="0F427F52" w14:textId="77777777" w:rsidR="00883D35" w:rsidRDefault="00000000">
      <w:pPr>
        <w:pStyle w:val="Heading1"/>
      </w:pPr>
      <w:r>
        <w:t>11. Current decision</w:t>
      </w:r>
    </w:p>
    <w:p w14:paraId="051B14F4" w14:textId="77777777" w:rsidR="00883D35" w:rsidRDefault="00000000">
      <w:r>
        <w:t>Run the revised V7.5 as a geometry-only reconstruction benchmark with richer evidence logging. Do not combine the evidence with YOLO confidence or use it for automatic acceptance yet. Use the collected component-level evidence to design and validate the later two-axis policy.</w:t>
      </w:r>
    </w:p>
    <w:sectPr w:rsidR="00883D3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C87EE" w14:textId="77777777" w:rsidR="00084BC0" w:rsidRDefault="00084BC0">
      <w:pPr>
        <w:spacing w:after="0" w:line="240" w:lineRule="auto"/>
      </w:pPr>
      <w:r>
        <w:separator/>
      </w:r>
    </w:p>
  </w:endnote>
  <w:endnote w:type="continuationSeparator" w:id="0">
    <w:p w14:paraId="564DF265" w14:textId="77777777" w:rsidR="00084BC0" w:rsidRDefault="0008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E1BB" w14:textId="77777777" w:rsidR="00883D35" w:rsidRDefault="00000000">
    <w:pPr>
      <w:pStyle w:val="Footer"/>
      <w:jc w:val="center"/>
    </w:pPr>
    <w:r>
      <w:rPr>
        <w:color w:val="646464"/>
        <w:sz w:val="16"/>
      </w:rPr>
      <w:t>Music Annotation Project | V7.5 design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A208" w14:textId="77777777" w:rsidR="00084BC0" w:rsidRDefault="00084BC0">
      <w:pPr>
        <w:spacing w:after="0" w:line="240" w:lineRule="auto"/>
      </w:pPr>
      <w:r>
        <w:separator/>
      </w:r>
    </w:p>
  </w:footnote>
  <w:footnote w:type="continuationSeparator" w:id="0">
    <w:p w14:paraId="4E2231CF" w14:textId="77777777" w:rsidR="00084BC0" w:rsidRDefault="00084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607203">
    <w:abstractNumId w:val="8"/>
  </w:num>
  <w:num w:numId="2" w16cid:durableId="628824779">
    <w:abstractNumId w:val="6"/>
  </w:num>
  <w:num w:numId="3" w16cid:durableId="51735028">
    <w:abstractNumId w:val="5"/>
  </w:num>
  <w:num w:numId="4" w16cid:durableId="637763163">
    <w:abstractNumId w:val="4"/>
  </w:num>
  <w:num w:numId="5" w16cid:durableId="2145351004">
    <w:abstractNumId w:val="7"/>
  </w:num>
  <w:num w:numId="6" w16cid:durableId="735708186">
    <w:abstractNumId w:val="3"/>
  </w:num>
  <w:num w:numId="7" w16cid:durableId="135296436">
    <w:abstractNumId w:val="2"/>
  </w:num>
  <w:num w:numId="8" w16cid:durableId="991374004">
    <w:abstractNumId w:val="1"/>
  </w:num>
  <w:num w:numId="9" w16cid:durableId="52337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BC0"/>
    <w:rsid w:val="0015074B"/>
    <w:rsid w:val="0029639D"/>
    <w:rsid w:val="00326F90"/>
    <w:rsid w:val="00883D35"/>
    <w:rsid w:val="00A869A1"/>
    <w:rsid w:val="00AA1D8D"/>
    <w:rsid w:val="00B47730"/>
    <w:rsid w:val="00C23F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D5C0FE-B519-4627-823B-06C21723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1066</Words>
  <Characters>6908</Characters>
  <Application>Microsoft Office Word</Application>
  <DocSecurity>0</DocSecurity>
  <Lines>186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Bolton, David</dc:creator>
  <cp:keywords/>
  <dc:description>generated by python-docx</dc:description>
  <cp:lastModifiedBy>Bolton, David</cp:lastModifiedBy>
  <cp:revision>2</cp:revision>
  <dcterms:created xsi:type="dcterms:W3CDTF">2026-10-11T10:35:00Z</dcterms:created>
  <dcterms:modified xsi:type="dcterms:W3CDTF">2026-10-14T12:46:00Z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2026-10-14T12:46:00Z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954d9079-932c-4f88-97f6-b77a26d481a3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