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0"/>
        </w:rPr>
        <w:t>MUSIC ANNOTATION PROJECT</w:t>
      </w:r>
    </w:p>
    <w:p>
      <w:pPr>
        <w:pStyle w:val="Title"/>
        <w:jc w:val="center"/>
      </w:pPr>
      <w:r>
        <w:t>V8.3 Residual-Gap Continuation Feasibility</w:t>
      </w:r>
    </w:p>
    <w:p>
      <w:pPr>
        <w:jc w:val="center"/>
      </w:pPr>
      <w:r>
        <w:rPr>
          <w:i/>
          <w:color w:val="666666"/>
          <w:sz w:val="24"/>
        </w:rPr>
        <w:t>Final findings, closure decision and retained evidence</w:t>
      </w:r>
    </w:p>
    <w:tbl>
      <w:tblPr>
        <w:tblW w:type="auto" w:w="0"/>
        <w:jc w:val="center"/>
        <w:tblLayout w:type="fixed"/>
        <w:tblLook w:firstColumn="1" w:firstRow="1" w:lastColumn="0" w:lastRow="0" w:noHBand="0" w:noVBand="1" w:val="04A0"/>
      </w:tblPr>
      <w:tblGrid>
        <w:gridCol w:w="9504"/>
      </w:tblGrid>
      <w:tr>
        <w:tc>
          <w:tcPr>
            <w:tcW w:type="dxa" w:w="9878"/>
            <w:shd w:fill="D9EAF7"/>
            <w:vAlign w:val="center"/>
            <w:tcMar>
              <w:top w:w="100" w:type="dxa"/>
              <w:start w:w="120" w:type="dxa"/>
              <w:bottom w:w="100" w:type="dxa"/>
              <w:end w:w="120" w:type="dxa"/>
            </w:tcMar>
          </w:tcPr>
          <w:p>
            <w:r/>
            <w:r>
              <w:rPr>
                <w:rFonts w:ascii="Aptos" w:hAnsi="Aptos"/>
                <w:b/>
                <w:color w:val="1F4E79"/>
                <w:sz w:val="20"/>
              </w:rPr>
              <w:t>DECISION STATUS: Close V8.3 as a completed, informative failed challenger. Retain frozen V7.8 reconstruction and do not continue legacy deterministic continuation tuning on the current development population.</w:t>
            </w:r>
          </w:p>
        </w:tc>
      </w:tr>
    </w:tbl>
    <w:p>
      <w:pPr>
        <w:jc w:val="center"/>
      </w:pPr>
      <w:r>
        <w:t>Project reference document | 20 October 2026</w:t>
      </w:r>
    </w:p>
    <w:p>
      <w:pPr>
        <w:pStyle w:val="Heading1"/>
        <w:keepNext/>
      </w:pPr>
      <w:r>
        <w:t>1. Purpose and scope</w:t>
      </w:r>
    </w:p>
    <w:p>
      <w:r>
        <w:t>This record closes the V8.3 research thread opened by Notebook 40. V8.3 tested whether additional observed-print preservation at the 0.50 threshold, relative to 0.75, reduced residual gaps enough for historical reconstruction and continuation methods to perform better. The experiment was development-only and had no authority to change the registered threshold or production policy.</w:t>
      </w:r>
    </w:p>
    <w:tbl>
      <w:tblPr>
        <w:tblW w:type="auto" w:w="0"/>
        <w:jc w:val="center"/>
        <w:tblLook w:firstColumn="1" w:firstRow="1" w:lastColumn="0" w:lastRow="0" w:noHBand="0" w:noVBand="1" w:val="04A0"/>
      </w:tblPr>
      <w:tblGrid>
        <w:gridCol w:w="9878"/>
      </w:tblGrid>
      <w:tr>
        <w:tc>
          <w:tcPr>
            <w:tcW w:type="dxa" w:w="9878"/>
            <w:shd w:fill="D9EAF7"/>
            <w:tcMar>
              <w:top w:w="140" w:type="dxa"/>
              <w:start w:w="160" w:type="dxa"/>
              <w:bottom w:w="140" w:type="dxa"/>
              <w:end w:w="160" w:type="dxa"/>
            </w:tcMar>
          </w:tcPr>
          <w:p>
            <w:r>
              <w:rPr>
                <w:b/>
                <w:color w:val="1F4E79"/>
                <w:sz w:val="21"/>
              </w:rPr>
              <w:t>Core conclusion</w:t>
              <w:br/>
            </w:r>
            <w:r>
              <w:rPr>
                <w:sz w:val="20"/>
              </w:rPr>
              <w:t>The rehabilitation hypothesis was not supported. Every tested legacy reconstruction method produced a negative mean local MAE benefit for 0.50 over 0.75. The historical staff-continuation implementation directly covered only 10.87% of reviewed selected pixels. The thread should close without further threshold or rule engineering.</w:t>
            </w:r>
          </w:p>
        </w:tc>
      </w:tr>
    </w:tbl>
    <w:p>
      <w:pPr>
        <w:pStyle w:val="Heading1"/>
        <w:keepNext/>
      </w:pPr>
      <w:r>
        <w:t>2. Experimental question and comparator</w:t>
      </w:r>
    </w:p>
    <w:p>
      <w:r>
        <w:t>Primary question: after preserving the additional 0.50-but-not-0.75 observed-print pixels, does the smaller residual gap improve clean-truth reconstruction under the historical methods?</w:t>
      </w:r>
    </w:p>
    <w:p>
      <w:pPr>
        <w:pStyle w:val="ListBullet"/>
      </w:pPr>
      <w:r>
        <w:t>Population: 184 reviewed primary regions containing 1,591 reviewed selected pixels across the adjacent 0.75-to-0.50 bands.</w:t>
      </w:r>
    </w:p>
    <w:p>
      <w:pPr>
        <w:pStyle w:val="ListBullet"/>
      </w:pPr>
      <w:r>
        <w:t>Comparator: reconstruction with the 0.75 residual mask.</w:t>
      </w:r>
    </w:p>
    <w:p>
      <w:pPr>
        <w:pStyle w:val="ListBullet"/>
      </w:pPr>
      <w:r>
        <w:t>Treatment: reconstruction with the 0.50 residual mask.</w:t>
      </w:r>
    </w:p>
    <w:p>
      <w:pPr>
        <w:pStyle w:val="ListBullet"/>
      </w:pPr>
      <w:r>
        <w:t>Methods: Telea, Navier-Stokes, biharmonic, hybrid_conservative and hybrid_routed.</w:t>
      </w:r>
    </w:p>
    <w:p>
      <w:pPr>
        <w:pStyle w:val="ListBullet"/>
      </w:pPr>
      <w:r>
        <w:t>Primary direction: positive local MAE benefit means 0.50 improved reconstruction over 0.75; negative means it worsened reconstruction.</w:t>
      </w:r>
    </w:p>
    <w:p>
      <w:pPr>
        <w:pStyle w:val="Heading1"/>
        <w:keepNext/>
      </w:pPr>
      <w:r>
        <w:t>3. Continuation applicability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4032"/>
            <w:shd w:fill="1F4E79"/>
            <w:vAlign w:val="center"/>
            <w:tcMar>
              <w:top w:w="100" w:type="dxa"/>
              <w:start w:w="120" w:type="dxa"/>
              <w:bottom w:w="100" w:type="dxa"/>
              <w:end w:w="120" w:type="dxa"/>
            </w:tcMar>
          </w:tcPr>
          <w:p>
            <w:r/>
            <w:r>
              <w:rPr>
                <w:rFonts w:ascii="Aptos" w:hAnsi="Aptos"/>
                <w:b/>
                <w:color w:val="FFFFFF"/>
                <w:sz w:val="18"/>
              </w:rPr>
              <w:t>Applicability class</w:t>
            </w:r>
          </w:p>
        </w:tc>
        <w:tc>
          <w:tcPr>
            <w:tcW w:type="dxa" w:w="1152"/>
            <w:shd w:fill="1F4E79"/>
            <w:vAlign w:val="center"/>
            <w:tcMar>
              <w:top w:w="100" w:type="dxa"/>
              <w:start w:w="120" w:type="dxa"/>
              <w:bottom w:w="100" w:type="dxa"/>
              <w:end w:w="120" w:type="dxa"/>
            </w:tcMar>
          </w:tcPr>
          <w:p>
            <w:r/>
            <w:r>
              <w:rPr>
                <w:rFonts w:ascii="Aptos" w:hAnsi="Aptos"/>
                <w:b/>
                <w:color w:val="FFFFFF"/>
                <w:sz w:val="18"/>
              </w:rPr>
              <w:t>Regions</w:t>
            </w:r>
          </w:p>
        </w:tc>
        <w:tc>
          <w:tcPr>
            <w:tcW w:type="dxa" w:w="1584"/>
            <w:shd w:fill="1F4E79"/>
            <w:vAlign w:val="center"/>
            <w:tcMar>
              <w:top w:w="100" w:type="dxa"/>
              <w:start w:w="120" w:type="dxa"/>
              <w:bottom w:w="100" w:type="dxa"/>
              <w:end w:w="120" w:type="dxa"/>
            </w:tcMar>
          </w:tcPr>
          <w:p>
            <w:r/>
            <w:r>
              <w:rPr>
                <w:rFonts w:ascii="Aptos" w:hAnsi="Aptos"/>
                <w:b/>
                <w:color w:val="FFFFFF"/>
                <w:sz w:val="18"/>
              </w:rPr>
              <w:t>Selected pixels</w:t>
            </w:r>
          </w:p>
        </w:tc>
        <w:tc>
          <w:tcPr>
            <w:tcW w:type="dxa" w:w="1296"/>
            <w:shd w:fill="1F4E79"/>
            <w:vAlign w:val="center"/>
            <w:tcMar>
              <w:top w:w="100" w:type="dxa"/>
              <w:start w:w="120" w:type="dxa"/>
              <w:bottom w:w="100" w:type="dxa"/>
              <w:end w:w="120" w:type="dxa"/>
            </w:tcMar>
          </w:tcPr>
          <w:p>
            <w:r/>
            <w:r>
              <w:rPr>
                <w:rFonts w:ascii="Aptos" w:hAnsi="Aptos"/>
                <w:b/>
                <w:color w:val="FFFFFF"/>
                <w:sz w:val="18"/>
              </w:rPr>
              <w:t>Share</w:t>
            </w:r>
          </w:p>
        </w:tc>
      </w:tr>
      <w:tr>
        <w:tc>
          <w:tcPr>
            <w:tcW w:type="dxa" w:w="4032"/>
            <w:vAlign w:val="center"/>
            <w:tcMar>
              <w:top w:w="100" w:type="dxa"/>
              <w:start w:w="120" w:type="dxa"/>
              <w:bottom w:w="100" w:type="dxa"/>
              <w:end w:w="120" w:type="dxa"/>
            </w:tcMar>
          </w:tcPr>
          <w:p>
            <w:r/>
            <w:r>
              <w:rPr>
                <w:rFonts w:ascii="Aptos" w:hAnsi="Aptos"/>
                <w:b w:val="0"/>
                <w:sz w:val="18"/>
              </w:rPr>
              <w:t>Implemented old staff continuation</w:t>
            </w:r>
          </w:p>
        </w:tc>
        <w:tc>
          <w:tcPr>
            <w:tcW w:type="dxa" w:w="1152"/>
            <w:vAlign w:val="center"/>
            <w:tcMar>
              <w:top w:w="100" w:type="dxa"/>
              <w:start w:w="120" w:type="dxa"/>
              <w:bottom w:w="100" w:type="dxa"/>
              <w:end w:w="120" w:type="dxa"/>
            </w:tcMar>
          </w:tcPr>
          <w:p>
            <w:r/>
            <w:r>
              <w:rPr>
                <w:rFonts w:ascii="Aptos" w:hAnsi="Aptos"/>
                <w:b w:val="0"/>
                <w:sz w:val="18"/>
              </w:rPr>
              <w:t>32</w:t>
            </w:r>
          </w:p>
        </w:tc>
        <w:tc>
          <w:tcPr>
            <w:tcW w:type="dxa" w:w="1584"/>
            <w:vAlign w:val="center"/>
            <w:tcMar>
              <w:top w:w="100" w:type="dxa"/>
              <w:start w:w="120" w:type="dxa"/>
              <w:bottom w:w="100" w:type="dxa"/>
              <w:end w:w="120" w:type="dxa"/>
            </w:tcMar>
          </w:tcPr>
          <w:p>
            <w:r/>
            <w:r>
              <w:rPr>
                <w:rFonts w:ascii="Aptos" w:hAnsi="Aptos"/>
                <w:b w:val="0"/>
                <w:sz w:val="18"/>
              </w:rPr>
              <w:t>173</w:t>
            </w:r>
          </w:p>
        </w:tc>
        <w:tc>
          <w:tcPr>
            <w:tcW w:type="dxa" w:w="1296"/>
            <w:vAlign w:val="center"/>
            <w:tcMar>
              <w:top w:w="100" w:type="dxa"/>
              <w:start w:w="120" w:type="dxa"/>
              <w:bottom w:w="100" w:type="dxa"/>
              <w:end w:w="120" w:type="dxa"/>
            </w:tcMar>
          </w:tcPr>
          <w:p>
            <w:r/>
            <w:r>
              <w:rPr>
                <w:rFonts w:ascii="Aptos" w:hAnsi="Aptos"/>
                <w:b w:val="0"/>
                <w:sz w:val="18"/>
              </w:rPr>
              <w:t>10.87%</w:t>
            </w:r>
          </w:p>
        </w:tc>
      </w:tr>
      <w:tr>
        <w:tc>
          <w:tcPr>
            <w:tcW w:type="dxa" w:w="4032"/>
            <w:vAlign w:val="center"/>
            <w:tcMar>
              <w:top w:w="100" w:type="dxa"/>
              <w:start w:w="120" w:type="dxa"/>
              <w:bottom w:w="100" w:type="dxa"/>
              <w:end w:w="120" w:type="dxa"/>
            </w:tcMar>
          </w:tcPr>
          <w:p>
            <w:r/>
            <w:r>
              <w:rPr>
                <w:rFonts w:ascii="Aptos" w:hAnsi="Aptos"/>
                <w:b w:val="0"/>
                <w:sz w:val="18"/>
              </w:rPr>
              <w:t>Plausible, but not old implementation</w:t>
            </w:r>
          </w:p>
        </w:tc>
        <w:tc>
          <w:tcPr>
            <w:tcW w:type="dxa" w:w="1152"/>
            <w:vAlign w:val="center"/>
            <w:tcMar>
              <w:top w:w="100" w:type="dxa"/>
              <w:start w:w="120" w:type="dxa"/>
              <w:bottom w:w="100" w:type="dxa"/>
              <w:end w:w="120" w:type="dxa"/>
            </w:tcMar>
          </w:tcPr>
          <w:p>
            <w:r/>
            <w:r>
              <w:rPr>
                <w:rFonts w:ascii="Aptos" w:hAnsi="Aptos"/>
                <w:b w:val="0"/>
                <w:sz w:val="18"/>
              </w:rPr>
              <w:t>52</w:t>
            </w:r>
          </w:p>
        </w:tc>
        <w:tc>
          <w:tcPr>
            <w:tcW w:type="dxa" w:w="1584"/>
            <w:vAlign w:val="center"/>
            <w:tcMar>
              <w:top w:w="100" w:type="dxa"/>
              <w:start w:w="120" w:type="dxa"/>
              <w:bottom w:w="100" w:type="dxa"/>
              <w:end w:w="120" w:type="dxa"/>
            </w:tcMar>
          </w:tcPr>
          <w:p>
            <w:r/>
            <w:r>
              <w:rPr>
                <w:rFonts w:ascii="Aptos" w:hAnsi="Aptos"/>
                <w:b w:val="0"/>
                <w:sz w:val="18"/>
              </w:rPr>
              <w:t>465</w:t>
            </w:r>
          </w:p>
        </w:tc>
        <w:tc>
          <w:tcPr>
            <w:tcW w:type="dxa" w:w="1296"/>
            <w:vAlign w:val="center"/>
            <w:tcMar>
              <w:top w:w="100" w:type="dxa"/>
              <w:start w:w="120" w:type="dxa"/>
              <w:bottom w:w="100" w:type="dxa"/>
              <w:end w:w="120" w:type="dxa"/>
            </w:tcMar>
          </w:tcPr>
          <w:p>
            <w:r/>
            <w:r>
              <w:rPr>
                <w:rFonts w:ascii="Aptos" w:hAnsi="Aptos"/>
                <w:b w:val="0"/>
                <w:sz w:val="18"/>
              </w:rPr>
              <w:t>29.23%</w:t>
            </w:r>
          </w:p>
        </w:tc>
      </w:tr>
      <w:tr>
        <w:tc>
          <w:tcPr>
            <w:tcW w:type="dxa" w:w="4032"/>
            <w:vAlign w:val="center"/>
            <w:tcMar>
              <w:top w:w="100" w:type="dxa"/>
              <w:start w:w="120" w:type="dxa"/>
              <w:bottom w:w="100" w:type="dxa"/>
              <w:end w:w="120" w:type="dxa"/>
            </w:tcMar>
          </w:tcPr>
          <w:p>
            <w:r/>
            <w:r>
              <w:rPr>
                <w:rFonts w:ascii="Aptos" w:hAnsi="Aptos"/>
                <w:b w:val="0"/>
                <w:sz w:val="18"/>
              </w:rPr>
              <w:t>Not a continuation target</w:t>
            </w:r>
          </w:p>
        </w:tc>
        <w:tc>
          <w:tcPr>
            <w:tcW w:type="dxa" w:w="1152"/>
            <w:vAlign w:val="center"/>
            <w:tcMar>
              <w:top w:w="100" w:type="dxa"/>
              <w:start w:w="120" w:type="dxa"/>
              <w:bottom w:w="100" w:type="dxa"/>
              <w:end w:w="120" w:type="dxa"/>
            </w:tcMar>
          </w:tcPr>
          <w:p>
            <w:r/>
            <w:r>
              <w:rPr>
                <w:rFonts w:ascii="Aptos" w:hAnsi="Aptos"/>
                <w:b w:val="0"/>
                <w:sz w:val="18"/>
              </w:rPr>
              <w:t>90</w:t>
            </w:r>
          </w:p>
        </w:tc>
        <w:tc>
          <w:tcPr>
            <w:tcW w:type="dxa" w:w="1584"/>
            <w:vAlign w:val="center"/>
            <w:tcMar>
              <w:top w:w="100" w:type="dxa"/>
              <w:start w:w="120" w:type="dxa"/>
              <w:bottom w:w="100" w:type="dxa"/>
              <w:end w:w="120" w:type="dxa"/>
            </w:tcMar>
          </w:tcPr>
          <w:p>
            <w:r/>
            <w:r>
              <w:rPr>
                <w:rFonts w:ascii="Aptos" w:hAnsi="Aptos"/>
                <w:b w:val="0"/>
                <w:sz w:val="18"/>
              </w:rPr>
              <w:t>856</w:t>
            </w:r>
          </w:p>
        </w:tc>
        <w:tc>
          <w:tcPr>
            <w:tcW w:type="dxa" w:w="1296"/>
            <w:vAlign w:val="center"/>
            <w:tcMar>
              <w:top w:w="100" w:type="dxa"/>
              <w:start w:w="120" w:type="dxa"/>
              <w:bottom w:w="100" w:type="dxa"/>
              <w:end w:w="120" w:type="dxa"/>
            </w:tcMar>
          </w:tcPr>
          <w:p>
            <w:r/>
            <w:r>
              <w:rPr>
                <w:rFonts w:ascii="Aptos" w:hAnsi="Aptos"/>
                <w:b w:val="0"/>
                <w:sz w:val="18"/>
              </w:rPr>
              <w:t>53.80%</w:t>
            </w:r>
          </w:p>
        </w:tc>
      </w:tr>
      <w:tr>
        <w:tc>
          <w:tcPr>
            <w:tcW w:type="dxa" w:w="4032"/>
            <w:vAlign w:val="center"/>
            <w:tcMar>
              <w:top w:w="100" w:type="dxa"/>
              <w:start w:w="120" w:type="dxa"/>
              <w:bottom w:w="100" w:type="dxa"/>
              <w:end w:w="120" w:type="dxa"/>
            </w:tcMar>
          </w:tcPr>
          <w:p>
            <w:r/>
            <w:r>
              <w:rPr>
                <w:rFonts w:ascii="Aptos" w:hAnsi="Aptos"/>
                <w:b w:val="0"/>
                <w:sz w:val="18"/>
              </w:rPr>
              <w:t>Non-print, mixed or indeterminate</w:t>
            </w:r>
          </w:p>
        </w:tc>
        <w:tc>
          <w:tcPr>
            <w:tcW w:type="dxa" w:w="1152"/>
            <w:vAlign w:val="center"/>
            <w:tcMar>
              <w:top w:w="100" w:type="dxa"/>
              <w:start w:w="120" w:type="dxa"/>
              <w:bottom w:w="100" w:type="dxa"/>
              <w:end w:w="120" w:type="dxa"/>
            </w:tcMar>
          </w:tcPr>
          <w:p>
            <w:r/>
            <w:r>
              <w:rPr>
                <w:rFonts w:ascii="Aptos" w:hAnsi="Aptos"/>
                <w:b w:val="0"/>
                <w:sz w:val="18"/>
              </w:rPr>
              <w:t>10</w:t>
            </w:r>
          </w:p>
        </w:tc>
        <w:tc>
          <w:tcPr>
            <w:tcW w:type="dxa" w:w="1584"/>
            <w:vAlign w:val="center"/>
            <w:tcMar>
              <w:top w:w="100" w:type="dxa"/>
              <w:start w:w="120" w:type="dxa"/>
              <w:bottom w:w="100" w:type="dxa"/>
              <w:end w:w="120" w:type="dxa"/>
            </w:tcMar>
          </w:tcPr>
          <w:p>
            <w:r/>
            <w:r>
              <w:rPr>
                <w:rFonts w:ascii="Aptos" w:hAnsi="Aptos"/>
                <w:b w:val="0"/>
                <w:sz w:val="18"/>
              </w:rPr>
              <w:t>97</w:t>
            </w:r>
          </w:p>
        </w:tc>
        <w:tc>
          <w:tcPr>
            <w:tcW w:type="dxa" w:w="1296"/>
            <w:vAlign w:val="center"/>
            <w:tcMar>
              <w:top w:w="100" w:type="dxa"/>
              <w:start w:w="120" w:type="dxa"/>
              <w:bottom w:w="100" w:type="dxa"/>
              <w:end w:w="120" w:type="dxa"/>
            </w:tcMar>
          </w:tcPr>
          <w:p>
            <w:r/>
            <w:r>
              <w:rPr>
                <w:rFonts w:ascii="Aptos" w:hAnsi="Aptos"/>
                <w:b w:val="0"/>
                <w:sz w:val="18"/>
              </w:rPr>
              <w:t>6.10%</w:t>
            </w:r>
          </w:p>
        </w:tc>
      </w:tr>
    </w:tbl>
    <w:p>
      <w:r>
        <w:t>The broad semantically plausible share, combining implemented staff continuation with plausible unimplemented stem/barline, beam, slur/tie and hairpin cases, was 40.10%. Its page-clustered 95% bootstrap interval was 21.15% to 57.75%. This is an opportunity estimate, not evidence that any completion algorithm works on those structures.</w:t>
      </w:r>
    </w:p>
    <w:p>
      <w:pPr>
        <w:pStyle w:val="Heading1"/>
        <w:keepNext/>
      </w:pPr>
      <w:r>
        <w:t>4. Method results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2880"/>
            <w:shd w:fill="1F4E79"/>
            <w:vAlign w:val="center"/>
            <w:tcMar>
              <w:top w:w="100" w:type="dxa"/>
              <w:start w:w="120" w:type="dxa"/>
              <w:bottom w:w="100" w:type="dxa"/>
              <w:end w:w="120" w:type="dxa"/>
            </w:tcMar>
          </w:tcPr>
          <w:p>
            <w:r/>
            <w:r>
              <w:rPr>
                <w:rFonts w:ascii="Aptos" w:hAnsi="Aptos"/>
                <w:b/>
                <w:color w:val="FFFFFF"/>
                <w:sz w:val="18"/>
              </w:rPr>
              <w:t>Method</w:t>
            </w:r>
          </w:p>
        </w:tc>
        <w:tc>
          <w:tcPr>
            <w:tcW w:type="dxa" w:w="1944"/>
            <w:shd w:fill="1F4E79"/>
            <w:vAlign w:val="center"/>
            <w:tcMar>
              <w:top w:w="100" w:type="dxa"/>
              <w:start w:w="120" w:type="dxa"/>
              <w:bottom w:w="100" w:type="dxa"/>
              <w:end w:w="120" w:type="dxa"/>
            </w:tcMar>
          </w:tcPr>
          <w:p>
            <w:r/>
            <w:r>
              <w:rPr>
                <w:rFonts w:ascii="Aptos" w:hAnsi="Aptos"/>
                <w:b/>
                <w:color w:val="FFFFFF"/>
                <w:sz w:val="18"/>
              </w:rPr>
              <w:t>Mean MAE benefit</w:t>
            </w:r>
          </w:p>
        </w:tc>
        <w:tc>
          <w:tcPr>
            <w:tcW w:type="dxa" w:w="1728"/>
            <w:shd w:fill="1F4E79"/>
            <w:vAlign w:val="center"/>
            <w:tcMar>
              <w:top w:w="100" w:type="dxa"/>
              <w:start w:w="120" w:type="dxa"/>
              <w:bottom w:w="100" w:type="dxa"/>
              <w:end w:w="120" w:type="dxa"/>
            </w:tcMar>
          </w:tcPr>
          <w:p>
            <w:r/>
            <w:r>
              <w:rPr>
                <w:rFonts w:ascii="Aptos" w:hAnsi="Aptos"/>
                <w:b/>
                <w:color w:val="FFFFFF"/>
                <w:sz w:val="18"/>
              </w:rPr>
              <w:t>Median</w:t>
            </w:r>
          </w:p>
        </w:tc>
        <w:tc>
          <w:tcPr>
            <w:tcW w:type="dxa" w:w="2232"/>
            <w:shd w:fill="1F4E79"/>
            <w:vAlign w:val="center"/>
            <w:tcMar>
              <w:top w:w="100" w:type="dxa"/>
              <w:start w:w="120" w:type="dxa"/>
              <w:bottom w:w="100" w:type="dxa"/>
              <w:end w:w="120" w:type="dxa"/>
            </w:tcMar>
          </w:tcPr>
          <w:p>
            <w:r/>
            <w:r>
              <w:rPr>
                <w:rFonts w:ascii="Aptos" w:hAnsi="Aptos"/>
                <w:b/>
                <w:color w:val="FFFFFF"/>
                <w:sz w:val="18"/>
              </w:rPr>
              <w:t>Regions with positive benefit</w:t>
            </w:r>
          </w:p>
        </w:tc>
      </w:tr>
      <w:tr>
        <w:tc>
          <w:tcPr>
            <w:tcW w:type="dxa" w:w="2880"/>
            <w:vAlign w:val="center"/>
            <w:tcMar>
              <w:top w:w="100" w:type="dxa"/>
              <w:start w:w="120" w:type="dxa"/>
              <w:bottom w:w="100" w:type="dxa"/>
              <w:end w:w="120" w:type="dxa"/>
            </w:tcMar>
          </w:tcPr>
          <w:p>
            <w:r/>
            <w:r>
              <w:rPr>
                <w:rFonts w:ascii="Aptos" w:hAnsi="Aptos"/>
                <w:b w:val="0"/>
                <w:sz w:val="18"/>
              </w:rPr>
              <w:t>hybrid_conservative</w:t>
            </w:r>
          </w:p>
        </w:tc>
        <w:tc>
          <w:tcPr>
            <w:tcW w:type="dxa" w:w="1944"/>
            <w:vAlign w:val="center"/>
            <w:tcMar>
              <w:top w:w="100" w:type="dxa"/>
              <w:start w:w="120" w:type="dxa"/>
              <w:bottom w:w="100" w:type="dxa"/>
              <w:end w:w="120" w:type="dxa"/>
            </w:tcMar>
          </w:tcPr>
          <w:p>
            <w:r/>
            <w:r>
              <w:rPr>
                <w:rFonts w:ascii="Aptos" w:hAnsi="Aptos"/>
                <w:b w:val="0"/>
                <w:sz w:val="18"/>
              </w:rPr>
              <w:t>-1.091</w:t>
            </w:r>
          </w:p>
        </w:tc>
        <w:tc>
          <w:tcPr>
            <w:tcW w:type="dxa" w:w="1728"/>
            <w:vAlign w:val="center"/>
            <w:tcMar>
              <w:top w:w="100" w:type="dxa"/>
              <w:start w:w="120" w:type="dxa"/>
              <w:bottom w:w="100" w:type="dxa"/>
              <w:end w:w="120" w:type="dxa"/>
            </w:tcMar>
          </w:tcPr>
          <w:p>
            <w:r/>
            <w:r>
              <w:rPr>
                <w:rFonts w:ascii="Aptos" w:hAnsi="Aptos"/>
                <w:b w:val="0"/>
                <w:sz w:val="18"/>
              </w:rPr>
              <w:t>-0.398</w:t>
            </w:r>
          </w:p>
        </w:tc>
        <w:tc>
          <w:tcPr>
            <w:tcW w:type="dxa" w:w="2232"/>
            <w:vAlign w:val="center"/>
            <w:tcMar>
              <w:top w:w="100" w:type="dxa"/>
              <w:start w:w="120" w:type="dxa"/>
              <w:bottom w:w="100" w:type="dxa"/>
              <w:end w:w="120" w:type="dxa"/>
            </w:tcMar>
          </w:tcPr>
          <w:p>
            <w:r/>
            <w:r>
              <w:rPr>
                <w:rFonts w:ascii="Aptos" w:hAnsi="Aptos"/>
                <w:b w:val="0"/>
                <w:sz w:val="18"/>
              </w:rPr>
              <w:t>41.3%</w:t>
            </w:r>
          </w:p>
        </w:tc>
      </w:tr>
      <w:tr>
        <w:tc>
          <w:tcPr>
            <w:tcW w:type="dxa" w:w="2880"/>
            <w:vAlign w:val="center"/>
            <w:tcMar>
              <w:top w:w="100" w:type="dxa"/>
              <w:start w:w="120" w:type="dxa"/>
              <w:bottom w:w="100" w:type="dxa"/>
              <w:end w:w="120" w:type="dxa"/>
            </w:tcMar>
          </w:tcPr>
          <w:p>
            <w:r/>
            <w:r>
              <w:rPr>
                <w:rFonts w:ascii="Aptos" w:hAnsi="Aptos"/>
                <w:b w:val="0"/>
                <w:sz w:val="18"/>
              </w:rPr>
              <w:t>biharmonic</w:t>
            </w:r>
          </w:p>
        </w:tc>
        <w:tc>
          <w:tcPr>
            <w:tcW w:type="dxa" w:w="1944"/>
            <w:vAlign w:val="center"/>
            <w:tcMar>
              <w:top w:w="100" w:type="dxa"/>
              <w:start w:w="120" w:type="dxa"/>
              <w:bottom w:w="100" w:type="dxa"/>
              <w:end w:w="120" w:type="dxa"/>
            </w:tcMar>
          </w:tcPr>
          <w:p>
            <w:r/>
            <w:r>
              <w:rPr>
                <w:rFonts w:ascii="Aptos" w:hAnsi="Aptos"/>
                <w:b w:val="0"/>
                <w:sz w:val="18"/>
              </w:rPr>
              <w:t>-1.288</w:t>
            </w:r>
          </w:p>
        </w:tc>
        <w:tc>
          <w:tcPr>
            <w:tcW w:type="dxa" w:w="1728"/>
            <w:vAlign w:val="center"/>
            <w:tcMar>
              <w:top w:w="100" w:type="dxa"/>
              <w:start w:w="120" w:type="dxa"/>
              <w:bottom w:w="100" w:type="dxa"/>
              <w:end w:w="120" w:type="dxa"/>
            </w:tcMar>
          </w:tcPr>
          <w:p>
            <w:r/>
            <w:r>
              <w:rPr>
                <w:rFonts w:ascii="Aptos" w:hAnsi="Aptos"/>
                <w:b w:val="0"/>
                <w:sz w:val="18"/>
              </w:rPr>
              <w:t>-0.480</w:t>
            </w:r>
          </w:p>
        </w:tc>
        <w:tc>
          <w:tcPr>
            <w:tcW w:type="dxa" w:w="2232"/>
            <w:vAlign w:val="center"/>
            <w:tcMar>
              <w:top w:w="100" w:type="dxa"/>
              <w:start w:w="120" w:type="dxa"/>
              <w:bottom w:w="100" w:type="dxa"/>
              <w:end w:w="120" w:type="dxa"/>
            </w:tcMar>
          </w:tcPr>
          <w:p>
            <w:r/>
            <w:r>
              <w:rPr>
                <w:rFonts w:ascii="Aptos" w:hAnsi="Aptos"/>
                <w:b w:val="0"/>
                <w:sz w:val="18"/>
              </w:rPr>
              <w:t>40.2%</w:t>
            </w:r>
          </w:p>
        </w:tc>
      </w:tr>
      <w:tr>
        <w:tc>
          <w:tcPr>
            <w:tcW w:type="dxa" w:w="2880"/>
            <w:vAlign w:val="center"/>
            <w:tcMar>
              <w:top w:w="100" w:type="dxa"/>
              <w:start w:w="120" w:type="dxa"/>
              <w:bottom w:w="100" w:type="dxa"/>
              <w:end w:w="120" w:type="dxa"/>
            </w:tcMar>
          </w:tcPr>
          <w:p>
            <w:r/>
            <w:r>
              <w:rPr>
                <w:rFonts w:ascii="Aptos" w:hAnsi="Aptos"/>
                <w:b w:val="0"/>
                <w:sz w:val="18"/>
              </w:rPr>
              <w:t>hybrid_routed</w:t>
            </w:r>
          </w:p>
        </w:tc>
        <w:tc>
          <w:tcPr>
            <w:tcW w:type="dxa" w:w="1944"/>
            <w:vAlign w:val="center"/>
            <w:tcMar>
              <w:top w:w="100" w:type="dxa"/>
              <w:start w:w="120" w:type="dxa"/>
              <w:bottom w:w="100" w:type="dxa"/>
              <w:end w:w="120" w:type="dxa"/>
            </w:tcMar>
          </w:tcPr>
          <w:p>
            <w:r/>
            <w:r>
              <w:rPr>
                <w:rFonts w:ascii="Aptos" w:hAnsi="Aptos"/>
                <w:b w:val="0"/>
                <w:sz w:val="18"/>
              </w:rPr>
              <w:t>-1.408</w:t>
            </w:r>
          </w:p>
        </w:tc>
        <w:tc>
          <w:tcPr>
            <w:tcW w:type="dxa" w:w="1728"/>
            <w:vAlign w:val="center"/>
            <w:tcMar>
              <w:top w:w="100" w:type="dxa"/>
              <w:start w:w="120" w:type="dxa"/>
              <w:bottom w:w="100" w:type="dxa"/>
              <w:end w:w="120" w:type="dxa"/>
            </w:tcMar>
          </w:tcPr>
          <w:p>
            <w:r/>
            <w:r>
              <w:rPr>
                <w:rFonts w:ascii="Aptos" w:hAnsi="Aptos"/>
                <w:b w:val="0"/>
                <w:sz w:val="18"/>
              </w:rPr>
              <w:t>-1.010</w:t>
            </w:r>
          </w:p>
        </w:tc>
        <w:tc>
          <w:tcPr>
            <w:tcW w:type="dxa" w:w="2232"/>
            <w:vAlign w:val="center"/>
            <w:tcMar>
              <w:top w:w="100" w:type="dxa"/>
              <w:start w:w="120" w:type="dxa"/>
              <w:bottom w:w="100" w:type="dxa"/>
              <w:end w:w="120" w:type="dxa"/>
            </w:tcMar>
          </w:tcPr>
          <w:p>
            <w:r/>
            <w:r>
              <w:rPr>
                <w:rFonts w:ascii="Aptos" w:hAnsi="Aptos"/>
                <w:b w:val="0"/>
                <w:sz w:val="18"/>
              </w:rPr>
              <w:t>31.0%</w:t>
            </w:r>
          </w:p>
        </w:tc>
      </w:tr>
      <w:tr>
        <w:tc>
          <w:tcPr>
            <w:tcW w:type="dxa" w:w="2880"/>
            <w:vAlign w:val="center"/>
            <w:tcMar>
              <w:top w:w="100" w:type="dxa"/>
              <w:start w:w="120" w:type="dxa"/>
              <w:bottom w:w="100" w:type="dxa"/>
              <w:end w:w="120" w:type="dxa"/>
            </w:tcMar>
          </w:tcPr>
          <w:p>
            <w:r/>
            <w:r>
              <w:rPr>
                <w:rFonts w:ascii="Aptos" w:hAnsi="Aptos"/>
                <w:b w:val="0"/>
                <w:sz w:val="18"/>
              </w:rPr>
              <w:t>Telea</w:t>
            </w:r>
          </w:p>
        </w:tc>
        <w:tc>
          <w:tcPr>
            <w:tcW w:type="dxa" w:w="1944"/>
            <w:vAlign w:val="center"/>
            <w:tcMar>
              <w:top w:w="100" w:type="dxa"/>
              <w:start w:w="120" w:type="dxa"/>
              <w:bottom w:w="100" w:type="dxa"/>
              <w:end w:w="120" w:type="dxa"/>
            </w:tcMar>
          </w:tcPr>
          <w:p>
            <w:r/>
            <w:r>
              <w:rPr>
                <w:rFonts w:ascii="Aptos" w:hAnsi="Aptos"/>
                <w:b w:val="0"/>
                <w:sz w:val="18"/>
              </w:rPr>
              <w:t>-1.410</w:t>
            </w:r>
          </w:p>
        </w:tc>
        <w:tc>
          <w:tcPr>
            <w:tcW w:type="dxa" w:w="1728"/>
            <w:vAlign w:val="center"/>
            <w:tcMar>
              <w:top w:w="100" w:type="dxa"/>
              <w:start w:w="120" w:type="dxa"/>
              <w:bottom w:w="100" w:type="dxa"/>
              <w:end w:w="120" w:type="dxa"/>
            </w:tcMar>
          </w:tcPr>
          <w:p>
            <w:r/>
            <w:r>
              <w:rPr>
                <w:rFonts w:ascii="Aptos" w:hAnsi="Aptos"/>
                <w:b w:val="0"/>
                <w:sz w:val="18"/>
              </w:rPr>
              <w:t>-1.004</w:t>
            </w:r>
          </w:p>
        </w:tc>
        <w:tc>
          <w:tcPr>
            <w:tcW w:type="dxa" w:w="2232"/>
            <w:vAlign w:val="center"/>
            <w:tcMar>
              <w:top w:w="100" w:type="dxa"/>
              <w:start w:w="120" w:type="dxa"/>
              <w:bottom w:w="100" w:type="dxa"/>
              <w:end w:w="120" w:type="dxa"/>
            </w:tcMar>
          </w:tcPr>
          <w:p>
            <w:r/>
            <w:r>
              <w:rPr>
                <w:rFonts w:ascii="Aptos" w:hAnsi="Aptos"/>
                <w:b w:val="0"/>
                <w:sz w:val="18"/>
              </w:rPr>
              <w:t>25.0%</w:t>
            </w:r>
          </w:p>
        </w:tc>
      </w:tr>
      <w:tr>
        <w:tc>
          <w:tcPr>
            <w:tcW w:type="dxa" w:w="2880"/>
            <w:vAlign w:val="center"/>
            <w:tcMar>
              <w:top w:w="100" w:type="dxa"/>
              <w:start w:w="120" w:type="dxa"/>
              <w:bottom w:w="100" w:type="dxa"/>
              <w:end w:w="120" w:type="dxa"/>
            </w:tcMar>
          </w:tcPr>
          <w:p>
            <w:r/>
            <w:r>
              <w:rPr>
                <w:rFonts w:ascii="Aptos" w:hAnsi="Aptos"/>
                <w:b w:val="0"/>
                <w:sz w:val="18"/>
              </w:rPr>
              <w:t>Navier-Stokes</w:t>
            </w:r>
          </w:p>
        </w:tc>
        <w:tc>
          <w:tcPr>
            <w:tcW w:type="dxa" w:w="1944"/>
            <w:vAlign w:val="center"/>
            <w:tcMar>
              <w:top w:w="100" w:type="dxa"/>
              <w:start w:w="120" w:type="dxa"/>
              <w:bottom w:w="100" w:type="dxa"/>
              <w:end w:w="120" w:type="dxa"/>
            </w:tcMar>
          </w:tcPr>
          <w:p>
            <w:r/>
            <w:r>
              <w:rPr>
                <w:rFonts w:ascii="Aptos" w:hAnsi="Aptos"/>
                <w:b w:val="0"/>
                <w:sz w:val="18"/>
              </w:rPr>
              <w:t>-1.576</w:t>
            </w:r>
          </w:p>
        </w:tc>
        <w:tc>
          <w:tcPr>
            <w:tcW w:type="dxa" w:w="1728"/>
            <w:vAlign w:val="center"/>
            <w:tcMar>
              <w:top w:w="100" w:type="dxa"/>
              <w:start w:w="120" w:type="dxa"/>
              <w:bottom w:w="100" w:type="dxa"/>
              <w:end w:w="120" w:type="dxa"/>
            </w:tcMar>
          </w:tcPr>
          <w:p>
            <w:r/>
            <w:r>
              <w:rPr>
                <w:rFonts w:ascii="Aptos" w:hAnsi="Aptos"/>
                <w:b w:val="0"/>
                <w:sz w:val="18"/>
              </w:rPr>
              <w:t>-1.427</w:t>
            </w:r>
          </w:p>
        </w:tc>
        <w:tc>
          <w:tcPr>
            <w:tcW w:type="dxa" w:w="2232"/>
            <w:vAlign w:val="center"/>
            <w:tcMar>
              <w:top w:w="100" w:type="dxa"/>
              <w:start w:w="120" w:type="dxa"/>
              <w:bottom w:w="100" w:type="dxa"/>
              <w:end w:w="120" w:type="dxa"/>
            </w:tcMar>
          </w:tcPr>
          <w:p>
            <w:r/>
            <w:r>
              <w:rPr>
                <w:rFonts w:ascii="Aptos" w:hAnsi="Aptos"/>
                <w:b w:val="0"/>
                <w:sz w:val="18"/>
              </w:rPr>
              <w:t>23.4%</w:t>
            </w:r>
          </w:p>
        </w:tc>
      </w:tr>
    </w:tbl>
    <w:p>
      <w:r>
        <w:t>All five aggregate means are negative. The result is stronger than a failure of one algorithm: the ranking spans PDE inpainting, biharmonic completion and two hybrid methods. Even the best aggregate method, hybrid_conservative, remains on the wrong side of zero.</w:t>
      </w:r>
    </w:p>
    <w:p>
      <w:pPr>
        <w:pStyle w:val="Heading1"/>
        <w:keepNext/>
      </w:pPr>
      <w:r>
        <w:t>5. Subgroup interpretation</w:t>
      </w:r>
    </w:p>
    <w:p>
      <w:pPr>
        <w:pStyle w:val="ListBullet"/>
      </w:pPr>
      <w:r>
        <w:t>Implemented old staff continuation was not rescued. Mean MAE benefit was negative for every method, including hybrid_conservative (-2.747) and hybrid_routed (-2.527).</w:t>
      </w:r>
    </w:p>
    <w:p>
      <w:pPr>
        <w:pStyle w:val="ListBullet"/>
      </w:pPr>
      <w:r>
        <w:t>Plausible but unimplemented structures were less negative under biharmonic (-0.620) and hybrid_conservative (-0.533), but still did not provide a positive aggregate result.</w:t>
      </w:r>
    </w:p>
    <w:p>
      <w:pPr>
        <w:pStyle w:val="ListBullet"/>
      </w:pPr>
      <w:r>
        <w:t>A minority of regions improved under individual methods, but region-level wins did not produce a positive page- or population-level case for continuing the branch.</w:t>
      </w:r>
    </w:p>
    <w:p>
      <w:pPr>
        <w:pStyle w:val="ListBullet"/>
      </w:pPr>
      <w:r>
        <w:t>The failure does not negate the value of exact observed-pixel preservation. It rejects the narrower claim that legacy reconstruction becomes better merely because preservation shrinks the remaining gap.</w:t>
      </w:r>
    </w:p>
    <w:p>
      <w:pPr>
        <w:pStyle w:val="Heading1"/>
        <w:keepNext/>
      </w:pPr>
      <w:r>
        <w:t>6. Relationship to Notebook 39 and earlier V7.9.x research</w:t>
      </w:r>
    </w:p>
    <w:p>
      <w:r>
        <w:t>Notebook 39 showed that exact preservation of genuine observed structure can improve outcomes and that the benefit varies by musical structure. V8.3 asked a different question: whether old reconstruction algorithms could exploit the smaller residual gaps. The negative V8.3 result is compatible with Notebook 39: preservation may be valuable even when legacy completion remains inadequate.</w:t>
      </w:r>
    </w:p>
    <w:p>
      <w:r>
        <w:t>The outcome also reinforces the V7.9.x decision to stop hand-crafted deterministic continuation as a positive selector. Deterministic geometry remains useful for audit, context and conservative vetoes, but further tuning on the same development evidence would repeat a hypothesis already rejected under grouped evaluation.</w:t>
      </w:r>
    </w:p>
    <w:p>
      <w:pPr>
        <w:pStyle w:val="Heading1"/>
        <w:keepNext/>
      </w:pPr>
      <w:r>
        <w:t>7. Closure decision</w:t>
      </w:r>
    </w:p>
    <w:tbl>
      <w:tblPr>
        <w:tblW w:type="auto" w:w="0"/>
        <w:jc w:val="center"/>
        <w:tblLook w:firstColumn="1" w:firstRow="1" w:lastColumn="0" w:lastRow="0" w:noHBand="0" w:noVBand="1" w:val="04A0"/>
      </w:tblPr>
      <w:tblGrid>
        <w:gridCol w:w="9878"/>
      </w:tblGrid>
      <w:tr>
        <w:tc>
          <w:tcPr>
            <w:tcW w:type="dxa" w:w="9878"/>
            <w:shd w:fill="D9EAF7"/>
            <w:tcMar>
              <w:top w:w="140" w:type="dxa"/>
              <w:start w:w="160" w:type="dxa"/>
              <w:bottom w:w="140" w:type="dxa"/>
              <w:end w:w="160" w:type="dxa"/>
            </w:tcMar>
          </w:tcPr>
          <w:p>
            <w:r>
              <w:rPr>
                <w:b/>
                <w:color w:val="C00000"/>
                <w:sz w:val="21"/>
              </w:rPr>
              <w:t>Formal decision</w:t>
              <w:br/>
            </w:r>
            <w:r>
              <w:rPr>
                <w:sz w:val="20"/>
              </w:rPr>
              <w:t>Close V8.3. Retain Notebook 40 and its upload package as a completed failed-challenger record. Do not create a V8.3.1 continuation-threshold sweep, safe_staff_continuation_v2, or another legacy inpainting comparison on the same cohort.</w:t>
            </w:r>
          </w:p>
        </w:tc>
      </w:tr>
    </w:tbl>
    <w:p>
      <w:pPr>
        <w:pStyle w:val="Heading1"/>
        <w:keepNext/>
      </w:pPr>
      <w:r>
        <w:t>8. Consequences and controls</w:t>
      </w:r>
    </w:p>
    <w:p>
      <w:pPr>
        <w:pStyle w:val="ListBullet"/>
      </w:pPr>
      <w:r>
        <w:t>Frozen V7.8 geometry_t80 remains the correction fallback and comparator.</w:t>
      </w:r>
    </w:p>
    <w:p>
      <w:pPr>
        <w:pStyle w:val="ListBullet"/>
      </w:pPr>
      <w:r>
        <w:t>V8 observed-print research continues as an exact-preservation problem, not a deterministic completion problem.</w:t>
      </w:r>
    </w:p>
    <w:p>
      <w:pPr>
        <w:pStyle w:val="ListBullet"/>
      </w:pPr>
      <w:r>
        <w:t>No V8.3 method or applicability class is authorised for production, threshold movement or automatic reconstruction.</w:t>
      </w:r>
    </w:p>
    <w:p>
      <w:pPr>
        <w:pStyle w:val="ListBullet"/>
      </w:pPr>
      <w:r>
        <w:t>The 29.23% plausible-but-unimplemented population is archived as future hypothesis material only. It does not justify immediate model development.</w:t>
      </w:r>
    </w:p>
    <w:p>
      <w:pPr>
        <w:pStyle w:val="ListBullet"/>
      </w:pPr>
      <w:r>
        <w:t>Any future reconstruction challenger must be materially different, pre-registered and compared with V7.8 under the same truth firewall, page/source grouping, immutability and visual-review controls.</w:t>
      </w:r>
    </w:p>
    <w:p>
      <w:pPr>
        <w:pStyle w:val="Heading1"/>
        <w:keepNext/>
      </w:pPr>
      <w:r>
        <w:t>9. Archival package and decision record</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3600"/>
            <w:shd w:fill="1F4E79"/>
            <w:vAlign w:val="center"/>
            <w:tcMar>
              <w:top w:w="100" w:type="dxa"/>
              <w:start w:w="120" w:type="dxa"/>
              <w:bottom w:w="100" w:type="dxa"/>
              <w:end w:w="120" w:type="dxa"/>
            </w:tcMar>
          </w:tcPr>
          <w:p>
            <w:r/>
            <w:r>
              <w:rPr>
                <w:rFonts w:ascii="Aptos" w:hAnsi="Aptos"/>
                <w:b/>
                <w:color w:val="FFFFFF"/>
                <w:sz w:val="18"/>
              </w:rPr>
              <w:t>Artefact</w:t>
            </w:r>
          </w:p>
        </w:tc>
        <w:tc>
          <w:tcPr>
            <w:tcW w:type="dxa" w:w="5760"/>
            <w:shd w:fill="1F4E79"/>
            <w:vAlign w:val="center"/>
            <w:tcMar>
              <w:top w:w="100" w:type="dxa"/>
              <w:start w:w="120" w:type="dxa"/>
              <w:bottom w:w="100" w:type="dxa"/>
              <w:end w:w="120" w:type="dxa"/>
            </w:tcMar>
          </w:tcPr>
          <w:p>
            <w:r/>
            <w:r>
              <w:rPr>
                <w:rFonts w:ascii="Aptos" w:hAnsi="Aptos"/>
                <w:b/>
                <w:color w:val="FFFFFF"/>
                <w:sz w:val="18"/>
              </w:rPr>
              <w:t>Role</w:t>
            </w:r>
          </w:p>
        </w:tc>
      </w:tr>
      <w:tr>
        <w:tc>
          <w:tcPr>
            <w:tcW w:type="dxa" w:w="3600"/>
            <w:vAlign w:val="center"/>
            <w:tcMar>
              <w:top w:w="100" w:type="dxa"/>
              <w:start w:w="120" w:type="dxa"/>
              <w:bottom w:w="100" w:type="dxa"/>
              <w:end w:w="120" w:type="dxa"/>
            </w:tcMar>
          </w:tcPr>
          <w:p>
            <w:r/>
            <w:r>
              <w:rPr>
                <w:rFonts w:ascii="Aptos" w:hAnsi="Aptos"/>
                <w:b w:val="0"/>
                <w:sz w:val="18"/>
              </w:rPr>
              <w:t>executive_summary.txt</w:t>
            </w:r>
          </w:p>
        </w:tc>
        <w:tc>
          <w:tcPr>
            <w:tcW w:type="dxa" w:w="5760"/>
            <w:vAlign w:val="center"/>
            <w:tcMar>
              <w:top w:w="100" w:type="dxa"/>
              <w:start w:w="120" w:type="dxa"/>
              <w:bottom w:w="100" w:type="dxa"/>
              <w:end w:w="120" w:type="dxa"/>
            </w:tcMar>
          </w:tcPr>
          <w:p>
            <w:r/>
            <w:r>
              <w:rPr>
                <w:rFonts w:ascii="Aptos" w:hAnsi="Aptos"/>
                <w:b w:val="0"/>
                <w:sz w:val="18"/>
              </w:rPr>
              <w:t>Headline population, applicability and interpretation.</w:t>
            </w:r>
          </w:p>
        </w:tc>
      </w:tr>
      <w:tr>
        <w:tc>
          <w:tcPr>
            <w:tcW w:type="dxa" w:w="3600"/>
            <w:vAlign w:val="center"/>
            <w:tcMar>
              <w:top w:w="100" w:type="dxa"/>
              <w:start w:w="120" w:type="dxa"/>
              <w:bottom w:w="100" w:type="dxa"/>
              <w:end w:w="120" w:type="dxa"/>
            </w:tcMar>
          </w:tcPr>
          <w:p>
            <w:r/>
            <w:r>
              <w:rPr>
                <w:rFonts w:ascii="Aptos" w:hAnsi="Aptos"/>
                <w:b w:val="0"/>
                <w:sz w:val="18"/>
              </w:rPr>
              <w:t>continuation_applicability_summary.csv</w:t>
            </w:r>
          </w:p>
        </w:tc>
        <w:tc>
          <w:tcPr>
            <w:tcW w:type="dxa" w:w="5760"/>
            <w:vAlign w:val="center"/>
            <w:tcMar>
              <w:top w:w="100" w:type="dxa"/>
              <w:start w:w="120" w:type="dxa"/>
              <w:bottom w:w="100" w:type="dxa"/>
              <w:end w:w="120" w:type="dxa"/>
            </w:tcMar>
          </w:tcPr>
          <w:p>
            <w:r/>
            <w:r>
              <w:rPr>
                <w:rFonts w:ascii="Aptos" w:hAnsi="Aptos"/>
                <w:b w:val="0"/>
                <w:sz w:val="18"/>
              </w:rPr>
              <w:t>Reviewed-region and selected-pixel applicability totals.</w:t>
            </w:r>
          </w:p>
        </w:tc>
      </w:tr>
      <w:tr>
        <w:tc>
          <w:tcPr>
            <w:tcW w:type="dxa" w:w="3600"/>
            <w:vAlign w:val="center"/>
            <w:tcMar>
              <w:top w:w="100" w:type="dxa"/>
              <w:start w:w="120" w:type="dxa"/>
              <w:bottom w:w="100" w:type="dxa"/>
              <w:end w:w="120" w:type="dxa"/>
            </w:tcMar>
          </w:tcPr>
          <w:p>
            <w:r/>
            <w:r>
              <w:rPr>
                <w:rFonts w:ascii="Aptos" w:hAnsi="Aptos"/>
                <w:b w:val="0"/>
                <w:sz w:val="18"/>
              </w:rPr>
              <w:t>plausibly_continuable_pixel_share.json</w:t>
            </w:r>
          </w:p>
        </w:tc>
        <w:tc>
          <w:tcPr>
            <w:tcW w:type="dxa" w:w="5760"/>
            <w:vAlign w:val="center"/>
            <w:tcMar>
              <w:top w:w="100" w:type="dxa"/>
              <w:start w:w="120" w:type="dxa"/>
              <w:bottom w:w="100" w:type="dxa"/>
              <w:end w:w="120" w:type="dxa"/>
            </w:tcMar>
          </w:tcPr>
          <w:p>
            <w:r/>
            <w:r>
              <w:rPr>
                <w:rFonts w:ascii="Aptos" w:hAnsi="Aptos"/>
                <w:b w:val="0"/>
                <w:sz w:val="18"/>
              </w:rPr>
              <w:t>Point estimate and page-clustered interval.</w:t>
            </w:r>
          </w:p>
        </w:tc>
      </w:tr>
      <w:tr>
        <w:tc>
          <w:tcPr>
            <w:tcW w:type="dxa" w:w="3600"/>
            <w:vAlign w:val="center"/>
            <w:tcMar>
              <w:top w:w="100" w:type="dxa"/>
              <w:start w:w="120" w:type="dxa"/>
              <w:bottom w:w="100" w:type="dxa"/>
              <w:end w:w="120" w:type="dxa"/>
            </w:tcMar>
          </w:tcPr>
          <w:p>
            <w:r/>
            <w:r>
              <w:rPr>
                <w:rFonts w:ascii="Aptos" w:hAnsi="Aptos"/>
                <w:b w:val="0"/>
                <w:sz w:val="18"/>
              </w:rPr>
              <w:t>paired_050_vs_075_method_deltas.csv</w:t>
            </w:r>
          </w:p>
        </w:tc>
        <w:tc>
          <w:tcPr>
            <w:tcW w:type="dxa" w:w="5760"/>
            <w:vAlign w:val="center"/>
            <w:tcMar>
              <w:top w:w="100" w:type="dxa"/>
              <w:start w:w="120" w:type="dxa"/>
              <w:bottom w:w="100" w:type="dxa"/>
              <w:end w:w="120" w:type="dxa"/>
            </w:tcMar>
          </w:tcPr>
          <w:p>
            <w:r/>
            <w:r>
              <w:rPr>
                <w:rFonts w:ascii="Aptos" w:hAnsi="Aptos"/>
                <w:b w:val="0"/>
                <w:sz w:val="18"/>
              </w:rPr>
              <w:t>Region-level paired method deltas.</w:t>
            </w:r>
          </w:p>
        </w:tc>
      </w:tr>
      <w:tr>
        <w:tc>
          <w:tcPr>
            <w:tcW w:type="dxa" w:w="3600"/>
            <w:vAlign w:val="center"/>
            <w:tcMar>
              <w:top w:w="100" w:type="dxa"/>
              <w:start w:w="120" w:type="dxa"/>
              <w:bottom w:w="100" w:type="dxa"/>
              <w:end w:w="120" w:type="dxa"/>
            </w:tcMar>
          </w:tcPr>
          <w:p>
            <w:r/>
            <w:r>
              <w:rPr>
                <w:rFonts w:ascii="Aptos" w:hAnsi="Aptos"/>
                <w:b w:val="0"/>
                <w:sz w:val="18"/>
              </w:rPr>
              <w:t>v8_3_method_summary_by_structure.csv</w:t>
            </w:r>
          </w:p>
        </w:tc>
        <w:tc>
          <w:tcPr>
            <w:tcW w:type="dxa" w:w="5760"/>
            <w:vAlign w:val="center"/>
            <w:tcMar>
              <w:top w:w="100" w:type="dxa"/>
              <w:start w:w="120" w:type="dxa"/>
              <w:bottom w:w="100" w:type="dxa"/>
              <w:end w:w="120" w:type="dxa"/>
            </w:tcMar>
          </w:tcPr>
          <w:p>
            <w:r/>
            <w:r>
              <w:rPr>
                <w:rFonts w:ascii="Aptos" w:hAnsi="Aptos"/>
                <w:b w:val="0"/>
                <w:sz w:val="18"/>
              </w:rPr>
              <w:t>Method results by semantic structure.</w:t>
            </w:r>
          </w:p>
        </w:tc>
      </w:tr>
      <w:tr>
        <w:tc>
          <w:tcPr>
            <w:tcW w:type="dxa" w:w="3600"/>
            <w:vAlign w:val="center"/>
            <w:tcMar>
              <w:top w:w="100" w:type="dxa"/>
              <w:start w:w="120" w:type="dxa"/>
              <w:bottom w:w="100" w:type="dxa"/>
              <w:end w:w="120" w:type="dxa"/>
            </w:tcMar>
          </w:tcPr>
          <w:p>
            <w:r/>
            <w:r>
              <w:rPr>
                <w:rFonts w:ascii="Aptos" w:hAnsi="Aptos"/>
                <w:b w:val="0"/>
                <w:sz w:val="18"/>
              </w:rPr>
              <w:t>residual_gap_span_comparison.csv</w:t>
            </w:r>
          </w:p>
        </w:tc>
        <w:tc>
          <w:tcPr>
            <w:tcW w:type="dxa" w:w="5760"/>
            <w:vAlign w:val="center"/>
            <w:tcMar>
              <w:top w:w="100" w:type="dxa"/>
              <w:start w:w="120" w:type="dxa"/>
              <w:bottom w:w="100" w:type="dxa"/>
              <w:end w:w="120" w:type="dxa"/>
            </w:tcMar>
          </w:tcPr>
          <w:p>
            <w:r/>
            <w:r>
              <w:rPr>
                <w:rFonts w:ascii="Aptos" w:hAnsi="Aptos"/>
                <w:b w:val="0"/>
                <w:sz w:val="18"/>
              </w:rPr>
              <w:t>Residual-span comparison across thresholds.</w:t>
            </w:r>
          </w:p>
        </w:tc>
      </w:tr>
      <w:tr>
        <w:tc>
          <w:tcPr>
            <w:tcW w:type="dxa" w:w="3600"/>
            <w:vAlign w:val="center"/>
            <w:tcMar>
              <w:top w:w="100" w:type="dxa"/>
              <w:start w:w="120" w:type="dxa"/>
              <w:bottom w:w="100" w:type="dxa"/>
              <w:end w:w="120" w:type="dxa"/>
            </w:tcMar>
          </w:tcPr>
          <w:p>
            <w:r/>
            <w:r>
              <w:rPr>
                <w:rFonts w:ascii="Aptos" w:hAnsi="Aptos"/>
                <w:b w:val="0"/>
                <w:sz w:val="18"/>
              </w:rPr>
              <w:t>method_mae_benefit_050_vs_075.png</w:t>
            </w:r>
          </w:p>
        </w:tc>
        <w:tc>
          <w:tcPr>
            <w:tcW w:type="dxa" w:w="5760"/>
            <w:vAlign w:val="center"/>
            <w:tcMar>
              <w:top w:w="100" w:type="dxa"/>
              <w:start w:w="120" w:type="dxa"/>
              <w:bottom w:w="100" w:type="dxa"/>
              <w:end w:w="120" w:type="dxa"/>
            </w:tcMar>
          </w:tcPr>
          <w:p>
            <w:r/>
            <w:r>
              <w:rPr>
                <w:rFonts w:ascii="Aptos" w:hAnsi="Aptos"/>
                <w:b w:val="0"/>
                <w:sz w:val="18"/>
              </w:rPr>
              <w:t>Headline method comparison.</w:t>
            </w:r>
          </w:p>
        </w:tc>
      </w:tr>
      <w:tr>
        <w:tc>
          <w:tcPr>
            <w:tcW w:type="dxa" w:w="3600"/>
            <w:vAlign w:val="center"/>
            <w:tcMar>
              <w:top w:w="100" w:type="dxa"/>
              <w:start w:w="120" w:type="dxa"/>
              <w:bottom w:w="100" w:type="dxa"/>
              <w:end w:w="120" w:type="dxa"/>
            </w:tcMar>
          </w:tcPr>
          <w:p>
            <w:r/>
            <w:r>
              <w:rPr>
                <w:rFonts w:ascii="Aptos" w:hAnsi="Aptos"/>
                <w:b w:val="0"/>
                <w:sz w:val="18"/>
              </w:rPr>
              <w:t>continuation_applicability_share.png</w:t>
            </w:r>
          </w:p>
        </w:tc>
        <w:tc>
          <w:tcPr>
            <w:tcW w:type="dxa" w:w="5760"/>
            <w:vAlign w:val="center"/>
            <w:tcMar>
              <w:top w:w="100" w:type="dxa"/>
              <w:start w:w="120" w:type="dxa"/>
              <w:bottom w:w="100" w:type="dxa"/>
              <w:end w:w="120" w:type="dxa"/>
            </w:tcMar>
          </w:tcPr>
          <w:p>
            <w:r/>
            <w:r>
              <w:rPr>
                <w:rFonts w:ascii="Aptos" w:hAnsi="Aptos"/>
                <w:b w:val="0"/>
                <w:sz w:val="18"/>
              </w:rPr>
              <w:t>Headline applicability distribution.</w:t>
            </w:r>
          </w:p>
        </w:tc>
      </w:tr>
      <w:tr>
        <w:tc>
          <w:tcPr>
            <w:tcW w:type="dxa" w:w="3600"/>
            <w:vAlign w:val="center"/>
            <w:tcMar>
              <w:top w:w="100" w:type="dxa"/>
              <w:start w:w="120" w:type="dxa"/>
              <w:bottom w:w="100" w:type="dxa"/>
              <w:end w:w="120" w:type="dxa"/>
            </w:tcMar>
          </w:tcPr>
          <w:p>
            <w:r/>
            <w:r>
              <w:rPr>
                <w:rFonts w:ascii="Aptos" w:hAnsi="Aptos"/>
                <w:b w:val="0"/>
                <w:sz w:val="18"/>
              </w:rPr>
              <w:t>experiment_manifest.json and upload_manifest.csv</w:t>
            </w:r>
          </w:p>
        </w:tc>
        <w:tc>
          <w:tcPr>
            <w:tcW w:type="dxa" w:w="5760"/>
            <w:vAlign w:val="center"/>
            <w:tcMar>
              <w:top w:w="100" w:type="dxa"/>
              <w:start w:w="120" w:type="dxa"/>
              <w:bottom w:w="100" w:type="dxa"/>
              <w:end w:w="120" w:type="dxa"/>
            </w:tcMar>
          </w:tcPr>
          <w:p>
            <w:r/>
            <w:r>
              <w:rPr>
                <w:rFonts w:ascii="Aptos" w:hAnsi="Aptos"/>
                <w:b w:val="0"/>
                <w:sz w:val="18"/>
              </w:rPr>
              <w:t>Run identity, provenance and upload integrity.</w:t>
            </w:r>
          </w:p>
        </w:tc>
      </w:tr>
    </w:tbl>
    <w:p>
      <w:pPr>
        <w:pStyle w:val="Heading1"/>
        <w:keepNext/>
      </w:pPr>
      <w:r>
        <w:t>10. Final statement</w:t>
      </w:r>
    </w:p>
    <w:p>
      <w:r>
        <w:t>V8.3 is closed because its principal mechanism failed: reducing residual gaps from the 0.75 to the 0.50 preservation boundary did not improve mean local reconstruction error for any tested historical method. The project retains the negative evidence, the exact-preservation results from Notebook 39 and V7.8 as incumbent fallback. A future reconstruction research strand, if commissioned, must start from a new model class and a new pre-registration rather than continue deterministic continuation tuning.</w:t>
      </w:r>
    </w:p>
    <w:p>
      <w:r>
        <w:t>Confidence: 98%. The closure decision is supported by complete paired results for 184 reviewed regions, uniformly negative method means, limited direct applicability of the historical implementation and the earlier V7.9.x generalisation failures.</w:t>
      </w:r>
    </w:p>
    <w:p>
      <w:pPr>
        <w:pStyle w:val="Heading1"/>
        <w:keepNext/>
      </w:pPr>
      <w:r>
        <w:t>Source basis</w:t>
      </w:r>
    </w:p>
    <w:p>
      <w:pPr>
        <w:pStyle w:val="ListBullet"/>
      </w:pPr>
      <w:r>
        <w:t>Notebook 40 upload: executive_summary.txt; continuation_applicability_summary.csv; plausibly_continuable_pixel_share.json; paired_050_vs_075_method_deltas.csv; v8_3_method_summary_by_structure.csv; residual_gap_span_comparison.csv; experiment_manifest.json.</w:t>
      </w:r>
    </w:p>
    <w:p>
      <w:pPr>
        <w:pStyle w:val="ListBullet"/>
      </w:pPr>
      <w:r>
        <w:t>V7_9_x_Research_Findings_and_Next_Steps.docx.</w:t>
      </w:r>
    </w:p>
    <w:p>
      <w:pPr>
        <w:pStyle w:val="ListBullet"/>
      </w:pPr>
      <w:r>
        <w:t>10_Reconstruction_Benchmark.txt.</w:t>
      </w:r>
    </w:p>
    <w:p>
      <w:pPr>
        <w:pStyle w:val="ListBullet"/>
      </w:pPr>
      <w:r>
        <w:t>V7_5_Design_Record_Annotation_Confidence_and_Correction_Safety.docx.</w:t>
      </w:r>
    </w:p>
    <w:p>
      <w:pPr>
        <w:pStyle w:val="ListBullet"/>
      </w:pPr>
      <w:r>
        <w:t>Production_Retraining_Policy_YOLO_and_Structural_Safety.docx.</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Music Annotation Project | V8.3 closure record | 20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B9BD5"/>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Bolton, David</dc:creator>
  <keywords/>
  <dc:description>generated by python-docx</dc:description>
  <lastModifiedBy>Bolton, David</lastModifiedBy>
  <revision>1</revision>
  <dcterms:created xsi:type="dcterms:W3CDTF">2026-10-20T09:31:42.0124710Z</dcterms:created>
  <dcterms:modified xsi:type="dcterms:W3CDTF">2026-10-20T09:31:42.0124710Z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2026-10-20T07:29:32Z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16438cc5-f4cc-4ec2-93af-d980d156d377</vt:lpwstr>
  </property>
  <property fmtid="{D5CDD505-2E9C-101B-9397-08002B2CF9AE}" pid="8" name="MSIP_Label_defa4170-0d19-0005-0000-bc88714345d2_ContentBits">
    <vt:lpwstr>0</vt:lpwstr>
  </property>
</Properties>
</file>