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68FD" w14:textId="77777777" w:rsidR="00FD4C5E" w:rsidRDefault="00FD4C5E" w:rsidP="00FD4C5E">
      <w:pPr>
        <w:pStyle w:val="NormalWeb"/>
        <w:spacing w:before="0" w:beforeAutospacing="0" w:after="120" w:afterAutospacing="0"/>
        <w:jc w:val="center"/>
      </w:pPr>
      <w:r>
        <w:rPr>
          <w:rFonts w:ascii="NotoSansCJKjp-Regular-VKana" w:hAnsi="NotoSansCJKjp-Regular-VKana"/>
          <w:sz w:val="28"/>
          <w:szCs w:val="28"/>
        </w:rPr>
        <w:t>Processo seletivo para a vaga de</w:t>
      </w:r>
    </w:p>
    <w:p w14:paraId="04DF89B9" w14:textId="2C3035EC" w:rsidR="00FD4C5E" w:rsidRPr="00FD4C5E" w:rsidRDefault="00FD4C5E" w:rsidP="00F12C86">
      <w:pPr>
        <w:pStyle w:val="NormalWeb"/>
        <w:spacing w:before="0" w:beforeAutospacing="0" w:after="120" w:afterAutospacing="0"/>
        <w:jc w:val="center"/>
        <w:rPr>
          <w:b/>
          <w:bCs/>
        </w:rPr>
      </w:pPr>
      <w:r w:rsidRPr="00FD4C5E">
        <w:rPr>
          <w:rFonts w:ascii="NotoSansCJKjp-Bold-VKana" w:hAnsi="NotoSansCJKjp-Bold-VKana"/>
          <w:b/>
          <w:bCs/>
          <w:sz w:val="28"/>
          <w:szCs w:val="28"/>
        </w:rPr>
        <w:t>Hacker de Fiscalização e Análise de Dados</w:t>
      </w:r>
    </w:p>
    <w:p w14:paraId="0EB339EE" w14:textId="2AAE9672" w:rsidR="00FD4C5E" w:rsidRPr="00FD4C5E" w:rsidRDefault="00FD4C5E" w:rsidP="00FD4C5E">
      <w:pPr>
        <w:pStyle w:val="NormalWeb"/>
        <w:spacing w:before="0" w:beforeAutospacing="0" w:after="120" w:afterAutospacing="0"/>
        <w:jc w:val="center"/>
        <w:rPr>
          <w:rFonts w:ascii="NotoSansCJKjp-Regular-VKana" w:hAnsi="NotoSansCJKjp-Regular-VKana"/>
          <w:i/>
          <w:iCs/>
          <w:sz w:val="28"/>
          <w:szCs w:val="28"/>
        </w:rPr>
      </w:pPr>
      <w:r>
        <w:rPr>
          <w:rFonts w:ascii="NotoSansCJKjp-Regular-VKana" w:hAnsi="NotoSansCJKjp-Regular-VKana"/>
          <w:sz w:val="28"/>
          <w:szCs w:val="28"/>
        </w:rPr>
        <w:t xml:space="preserve">do </w:t>
      </w:r>
      <w:r w:rsidRPr="00FD4C5E">
        <w:rPr>
          <w:rFonts w:ascii="NotoSansCJKjp-Regular-VKana" w:hAnsi="NotoSansCJKjp-Regular-VKana"/>
          <w:i/>
          <w:iCs/>
          <w:sz w:val="28"/>
          <w:szCs w:val="28"/>
        </w:rPr>
        <w:t>Gabinete Compartilhado</w:t>
      </w:r>
    </w:p>
    <w:p w14:paraId="06CE6EAE" w14:textId="77777777" w:rsidR="00FD4C5E" w:rsidRDefault="00FD4C5E" w:rsidP="00FD4C5E">
      <w:pPr>
        <w:pStyle w:val="NormalWeb"/>
        <w:spacing w:before="0" w:beforeAutospacing="0" w:after="120" w:afterAutospacing="0"/>
        <w:jc w:val="center"/>
      </w:pPr>
    </w:p>
    <w:p w14:paraId="575C0416" w14:textId="3D597C04" w:rsidR="00FD4C5E" w:rsidRDefault="00FD4C5E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Candidata: Débora Alves Pereira Bastos (CPF: 009.129.431-22)</w:t>
      </w:r>
    </w:p>
    <w:p w14:paraId="62C826F4" w14:textId="1263C895" w:rsidR="00FD4C5E" w:rsidRDefault="00FD4C5E" w:rsidP="00533A99">
      <w:pPr>
        <w:jc w:val="both"/>
        <w:rPr>
          <w:rFonts w:ascii="Times New Roman" w:hAnsi="Times New Roman" w:cs="Times New Roman"/>
          <w:lang w:val="pt-BR"/>
        </w:rPr>
      </w:pPr>
    </w:p>
    <w:p w14:paraId="1912AEEF" w14:textId="0F926A99" w:rsidR="00CB19CA" w:rsidRDefault="00CB19CA" w:rsidP="00533A99">
      <w:pPr>
        <w:jc w:val="both"/>
        <w:rPr>
          <w:rFonts w:ascii="Times New Roman" w:hAnsi="Times New Roman" w:cs="Times New Roman"/>
          <w:b/>
          <w:bCs/>
          <w:i/>
          <w:iCs/>
          <w:u w:val="single"/>
          <w:lang w:val="pt-BR"/>
        </w:rPr>
      </w:pPr>
      <w:r w:rsidRPr="00CB19CA">
        <w:rPr>
          <w:rFonts w:ascii="Times New Roman" w:hAnsi="Times New Roman" w:cs="Times New Roman"/>
          <w:b/>
          <w:bCs/>
          <w:i/>
          <w:iCs/>
          <w:u w:val="single"/>
          <w:lang w:val="pt-BR"/>
        </w:rPr>
        <w:t>Resposta</w:t>
      </w:r>
      <w:r>
        <w:rPr>
          <w:rFonts w:ascii="Times New Roman" w:hAnsi="Times New Roman" w:cs="Times New Roman"/>
          <w:b/>
          <w:bCs/>
          <w:i/>
          <w:iCs/>
          <w:u w:val="single"/>
          <w:lang w:val="pt-BR"/>
        </w:rPr>
        <w:t xml:space="preserve"> Primeira Parte</w:t>
      </w:r>
      <w:r w:rsidRPr="00CB19CA">
        <w:rPr>
          <w:rFonts w:ascii="Times New Roman" w:hAnsi="Times New Roman" w:cs="Times New Roman"/>
          <w:b/>
          <w:bCs/>
          <w:i/>
          <w:iCs/>
          <w:u w:val="single"/>
          <w:lang w:val="pt-BR"/>
        </w:rPr>
        <w:t>:</w:t>
      </w:r>
    </w:p>
    <w:p w14:paraId="5109DD4B" w14:textId="77777777" w:rsidR="00CB19CA" w:rsidRPr="00B26708" w:rsidRDefault="00CB19CA" w:rsidP="00533A99">
      <w:pPr>
        <w:jc w:val="both"/>
        <w:rPr>
          <w:rFonts w:ascii="Times New Roman" w:hAnsi="Times New Roman" w:cs="Times New Roman"/>
          <w:b/>
          <w:bCs/>
          <w:u w:val="single"/>
          <w:lang w:val="pt-BR"/>
        </w:rPr>
      </w:pPr>
    </w:p>
    <w:p w14:paraId="6B877785" w14:textId="3A762DCF" w:rsidR="00FF23C8" w:rsidRDefault="00B74370" w:rsidP="00533A99">
      <w:pPr>
        <w:jc w:val="both"/>
        <w:rPr>
          <w:rFonts w:ascii="Times New Roman" w:hAnsi="Times New Roman" w:cs="Times New Roman"/>
          <w:lang w:val="pt-BR"/>
        </w:rPr>
      </w:pPr>
      <w:r w:rsidRPr="00FF23C8">
        <w:rPr>
          <w:rFonts w:ascii="Times New Roman" w:hAnsi="Times New Roman" w:cs="Times New Roman"/>
          <w:lang w:val="pt-BR"/>
        </w:rPr>
        <w:t>O Instituto de Pesquisa Econômica Aplicada (IPEA)</w:t>
      </w:r>
      <w:r w:rsidR="00FF23C8" w:rsidRPr="00FF23C8">
        <w:rPr>
          <w:rFonts w:ascii="Times New Roman" w:hAnsi="Times New Roman" w:cs="Times New Roman"/>
          <w:lang w:val="pt-BR"/>
        </w:rPr>
        <w:t>, visando analisar a trajetória da remuneração dos servidores públicos federais ativos,</w:t>
      </w:r>
      <w:r w:rsidRPr="00FF23C8">
        <w:rPr>
          <w:rFonts w:ascii="Times New Roman" w:hAnsi="Times New Roman" w:cs="Times New Roman"/>
          <w:lang w:val="pt-BR"/>
        </w:rPr>
        <w:t xml:space="preserve"> recolheu </w:t>
      </w:r>
      <w:r w:rsidR="00FF23C8" w:rsidRPr="00FF23C8">
        <w:rPr>
          <w:rFonts w:ascii="Times New Roman" w:hAnsi="Times New Roman" w:cs="Times New Roman"/>
          <w:lang w:val="pt-BR"/>
        </w:rPr>
        <w:t xml:space="preserve">dados </w:t>
      </w:r>
      <w:r w:rsidR="00FF23C8" w:rsidRPr="00FF23C8">
        <w:rPr>
          <w:rFonts w:ascii="Times New Roman" w:eastAsia="Times New Roman" w:hAnsi="Times New Roman" w:cs="Times New Roman"/>
        </w:rPr>
        <w:t>do Sistema Integrado de Administração de Pessoal, do Ministério da Economia (Siape/ME)</w:t>
      </w:r>
      <w:r w:rsidR="00FF23C8" w:rsidRPr="00FF23C8">
        <w:rPr>
          <w:rFonts w:ascii="Times New Roman" w:eastAsia="Times New Roman" w:hAnsi="Times New Roman" w:cs="Times New Roman"/>
          <w:lang w:val="pt-BR"/>
        </w:rPr>
        <w:t>, entre os anos de 1999 e 2020, e disponibilizou no site</w:t>
      </w:r>
      <w:r w:rsidR="00FF23C8" w:rsidRPr="00FF23C8">
        <w:rPr>
          <w:rFonts w:ascii="Times New Roman" w:hAnsi="Times New Roman" w:cs="Times New Roman"/>
          <w:lang w:val="pt-BR"/>
        </w:rPr>
        <w:t xml:space="preserve"> </w:t>
      </w:r>
      <w:r w:rsidR="005D574E" w:rsidRPr="00FF23C8">
        <w:rPr>
          <w:rFonts w:ascii="Times New Roman" w:hAnsi="Times New Roman" w:cs="Times New Roman"/>
          <w:lang w:val="pt-BR"/>
        </w:rPr>
        <w:t>Atlas do Estado Brasileiro</w:t>
      </w:r>
      <w:r w:rsidR="00FD4C5E">
        <w:rPr>
          <w:rStyle w:val="FootnoteReference"/>
          <w:rFonts w:ascii="Times New Roman" w:hAnsi="Times New Roman" w:cs="Times New Roman"/>
          <w:lang w:val="pt-BR"/>
        </w:rPr>
        <w:footnoteReference w:id="1"/>
      </w:r>
      <w:r w:rsidR="00FF23C8" w:rsidRPr="00FF23C8">
        <w:rPr>
          <w:rFonts w:ascii="Times New Roman" w:hAnsi="Times New Roman" w:cs="Times New Roman"/>
          <w:lang w:val="pt-BR"/>
        </w:rPr>
        <w:t>.</w:t>
      </w:r>
    </w:p>
    <w:p w14:paraId="3467FC7F" w14:textId="77777777" w:rsidR="007A799F" w:rsidRPr="00FF23C8" w:rsidRDefault="007A799F" w:rsidP="00533A99">
      <w:pPr>
        <w:jc w:val="both"/>
        <w:rPr>
          <w:rFonts w:ascii="Times New Roman" w:hAnsi="Times New Roman" w:cs="Times New Roman"/>
          <w:lang w:val="pt-BR"/>
        </w:rPr>
      </w:pPr>
    </w:p>
    <w:p w14:paraId="6AE055E6" w14:textId="6EE13F7D" w:rsidR="0003322F" w:rsidRDefault="001956C1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Da</w:t>
      </w:r>
      <w:r w:rsidR="008F2B02">
        <w:rPr>
          <w:rFonts w:ascii="Times New Roman" w:hAnsi="Times New Roman" w:cs="Times New Roman"/>
          <w:lang w:val="pt-BR"/>
        </w:rPr>
        <w:t xml:space="preserve"> análise da série histórica ‘Remu</w:t>
      </w:r>
      <w:r>
        <w:rPr>
          <w:rFonts w:ascii="Times New Roman" w:hAnsi="Times New Roman" w:cs="Times New Roman"/>
          <w:lang w:val="pt-BR"/>
        </w:rPr>
        <w:t>neração líquida média mensal no Executivo civil federal ativo, por sexo e raça</w:t>
      </w:r>
      <w:r w:rsidR="008F2B02">
        <w:rPr>
          <w:rFonts w:ascii="Times New Roman" w:hAnsi="Times New Roman" w:cs="Times New Roman"/>
          <w:lang w:val="pt-BR"/>
        </w:rPr>
        <w:t>’</w:t>
      </w:r>
      <w:r w:rsidR="007C6B62">
        <w:rPr>
          <w:rStyle w:val="FootnoteReference"/>
          <w:rFonts w:ascii="Times New Roman" w:hAnsi="Times New Roman" w:cs="Times New Roman"/>
          <w:lang w:val="pt-BR"/>
        </w:rPr>
        <w:footnoteReference w:id="2"/>
      </w:r>
      <w:r>
        <w:rPr>
          <w:rFonts w:ascii="Times New Roman" w:hAnsi="Times New Roman" w:cs="Times New Roman"/>
          <w:lang w:val="pt-BR"/>
        </w:rPr>
        <w:t xml:space="preserve"> é possível observar </w:t>
      </w:r>
      <w:r w:rsidR="00A169EF">
        <w:rPr>
          <w:rFonts w:ascii="Times New Roman" w:hAnsi="Times New Roman" w:cs="Times New Roman"/>
          <w:lang w:val="pt-BR"/>
        </w:rPr>
        <w:t xml:space="preserve">relevante disparidade salarial entre as categorias consideradas. </w:t>
      </w:r>
      <w:r w:rsidR="00322370">
        <w:rPr>
          <w:rFonts w:ascii="Times New Roman" w:hAnsi="Times New Roman" w:cs="Times New Roman"/>
          <w:lang w:val="pt-BR"/>
        </w:rPr>
        <w:t>Enquanto o salário médio de um homem branco passou de R$ 6</w:t>
      </w:r>
      <w:r w:rsidR="00F06600">
        <w:rPr>
          <w:rFonts w:ascii="Times New Roman" w:hAnsi="Times New Roman" w:cs="Times New Roman"/>
          <w:lang w:val="pt-BR"/>
        </w:rPr>
        <w:t>,5 mil</w:t>
      </w:r>
      <w:r w:rsidR="00794966">
        <w:rPr>
          <w:rFonts w:ascii="Times New Roman" w:hAnsi="Times New Roman" w:cs="Times New Roman"/>
          <w:lang w:val="pt-BR"/>
        </w:rPr>
        <w:t>,</w:t>
      </w:r>
      <w:r w:rsidR="00F06600">
        <w:rPr>
          <w:rFonts w:ascii="Times New Roman" w:hAnsi="Times New Roman" w:cs="Times New Roman"/>
          <w:lang w:val="pt-BR"/>
        </w:rPr>
        <w:t xml:space="preserve"> em 1999, para R$ 8,7</w:t>
      </w:r>
      <w:r w:rsidR="00794966">
        <w:rPr>
          <w:rFonts w:ascii="Times New Roman" w:hAnsi="Times New Roman" w:cs="Times New Roman"/>
          <w:lang w:val="pt-BR"/>
        </w:rPr>
        <w:t>,</w:t>
      </w:r>
      <w:r w:rsidR="00F06600">
        <w:rPr>
          <w:rFonts w:ascii="Times New Roman" w:hAnsi="Times New Roman" w:cs="Times New Roman"/>
          <w:lang w:val="pt-BR"/>
        </w:rPr>
        <w:t xml:space="preserve"> em 2020, a mulher negra teve o salário médio aumentado de R$ 4 mil, em 1999, para R$ 5,8 mil, em 2020.</w:t>
      </w:r>
      <w:r w:rsidR="003C138F">
        <w:rPr>
          <w:rFonts w:ascii="Times New Roman" w:hAnsi="Times New Roman" w:cs="Times New Roman"/>
          <w:lang w:val="pt-BR"/>
        </w:rPr>
        <w:t xml:space="preserve"> A tabela a </w:t>
      </w:r>
      <w:r w:rsidR="0003322F">
        <w:rPr>
          <w:rFonts w:ascii="Times New Roman" w:hAnsi="Times New Roman" w:cs="Times New Roman"/>
          <w:lang w:val="pt-BR"/>
        </w:rPr>
        <w:t>seguir mostra os salários de 1999 e 2020, por categoria, e sua variação percentual</w:t>
      </w:r>
      <w:r w:rsidR="00E12C2E">
        <w:rPr>
          <w:rFonts w:ascii="Times New Roman" w:hAnsi="Times New Roman" w:cs="Times New Roman"/>
          <w:lang w:val="pt-BR"/>
        </w:rPr>
        <w:t>:</w:t>
      </w:r>
    </w:p>
    <w:p w14:paraId="4B998393" w14:textId="77777777" w:rsidR="00E12C2E" w:rsidRDefault="00E12C2E" w:rsidP="00533A99">
      <w:pPr>
        <w:jc w:val="both"/>
        <w:rPr>
          <w:rFonts w:ascii="Times New Roman" w:hAnsi="Times New Roman" w:cs="Times New Roman"/>
          <w:lang w:val="pt-BR"/>
        </w:rPr>
      </w:pPr>
    </w:p>
    <w:p w14:paraId="6ADAB108" w14:textId="0AD0381E" w:rsidR="00743BAC" w:rsidRPr="00446B26" w:rsidRDefault="00743BAC" w:rsidP="00743BAC">
      <w:pPr>
        <w:pStyle w:val="Caption"/>
        <w:keepNext/>
        <w:jc w:val="center"/>
        <w:rPr>
          <w:sz w:val="20"/>
          <w:szCs w:val="20"/>
          <w:lang w:val="pt-BR"/>
        </w:rPr>
      </w:pPr>
      <w:r w:rsidRPr="00446B26">
        <w:rPr>
          <w:sz w:val="20"/>
          <w:szCs w:val="20"/>
        </w:rPr>
        <w:t xml:space="preserve">Tabela </w:t>
      </w:r>
      <w:r w:rsidRPr="00446B26">
        <w:rPr>
          <w:sz w:val="20"/>
          <w:szCs w:val="20"/>
        </w:rPr>
        <w:fldChar w:fldCharType="begin"/>
      </w:r>
      <w:r w:rsidRPr="00446B26">
        <w:rPr>
          <w:sz w:val="20"/>
          <w:szCs w:val="20"/>
        </w:rPr>
        <w:instrText xml:space="preserve"> SEQ Tabela \* ARABIC </w:instrText>
      </w:r>
      <w:r w:rsidRPr="00446B26">
        <w:rPr>
          <w:sz w:val="20"/>
          <w:szCs w:val="20"/>
        </w:rPr>
        <w:fldChar w:fldCharType="separate"/>
      </w:r>
      <w:r w:rsidR="00CA1044" w:rsidRPr="00446B26">
        <w:rPr>
          <w:noProof/>
          <w:sz w:val="20"/>
          <w:szCs w:val="20"/>
        </w:rPr>
        <w:t>1</w:t>
      </w:r>
      <w:r w:rsidRPr="00446B26">
        <w:rPr>
          <w:sz w:val="20"/>
          <w:szCs w:val="20"/>
        </w:rPr>
        <w:fldChar w:fldCharType="end"/>
      </w:r>
      <w:r w:rsidRPr="00446B26">
        <w:rPr>
          <w:sz w:val="20"/>
          <w:szCs w:val="20"/>
          <w:lang w:val="pt-BR"/>
        </w:rPr>
        <w:t xml:space="preserve"> – Salários de 1999 e 2020 por categoria</w:t>
      </w:r>
    </w:p>
    <w:tbl>
      <w:tblPr>
        <w:tblW w:w="6045" w:type="dxa"/>
        <w:jc w:val="center"/>
        <w:tblLook w:val="04A0" w:firstRow="1" w:lastRow="0" w:firstColumn="1" w:lastColumn="0" w:noHBand="0" w:noVBand="1"/>
      </w:tblPr>
      <w:tblGrid>
        <w:gridCol w:w="1838"/>
        <w:gridCol w:w="1559"/>
        <w:gridCol w:w="1560"/>
        <w:gridCol w:w="1088"/>
      </w:tblGrid>
      <w:tr w:rsidR="00E12C2E" w:rsidRPr="00E12C2E" w14:paraId="70BD9A00" w14:textId="77777777" w:rsidTr="00E12C2E">
        <w:trPr>
          <w:trHeight w:val="3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874CB59" w14:textId="4C8E80C2" w:rsidR="00E12C2E" w:rsidRPr="00E12C2E" w:rsidRDefault="00743BAC" w:rsidP="00E12C2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3A9D28D" w14:textId="4F1E182B" w:rsidR="00E12C2E" w:rsidRPr="00E12C2E" w:rsidRDefault="00E12C2E" w:rsidP="00E12C2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 xml:space="preserve">Salário </w:t>
            </w:r>
            <w:r w:rsidRPr="00E12C2E">
              <w:rPr>
                <w:rFonts w:ascii="Calibri" w:eastAsia="Times New Roman" w:hAnsi="Calibri" w:cs="Calibri"/>
                <w:b/>
                <w:bCs/>
                <w:color w:val="000000"/>
              </w:rPr>
              <w:t>1999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4FF2E10" w14:textId="2CF9C91C" w:rsidR="00E12C2E" w:rsidRPr="00E12C2E" w:rsidRDefault="00E12C2E" w:rsidP="00E12C2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 xml:space="preserve">Salário </w:t>
            </w:r>
            <w:r w:rsidRPr="00E12C2E">
              <w:rPr>
                <w:rFonts w:ascii="Calibri" w:eastAsia="Times New Roman" w:hAnsi="Calibri" w:cs="Calibri"/>
                <w:b/>
                <w:bCs/>
                <w:color w:val="000000"/>
              </w:rPr>
              <w:t>2020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C96D02F" w14:textId="77777777" w:rsidR="00E12C2E" w:rsidRPr="00E12C2E" w:rsidRDefault="00E12C2E" w:rsidP="00E12C2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2C2E">
              <w:rPr>
                <w:rFonts w:ascii="Calibri" w:eastAsia="Times New Roman" w:hAnsi="Calibri" w:cs="Calibri"/>
                <w:b/>
                <w:bCs/>
                <w:color w:val="000000"/>
              </w:rPr>
              <w:t>Variação</w:t>
            </w:r>
          </w:p>
        </w:tc>
      </w:tr>
      <w:tr w:rsidR="00E12C2E" w:rsidRPr="00E12C2E" w14:paraId="4DF26744" w14:textId="77777777" w:rsidTr="00E12C2E">
        <w:trPr>
          <w:trHeight w:val="32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E6D0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>Homem Branco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9A4C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 xml:space="preserve"> R$  6.527,20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1C32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 xml:space="preserve"> R$  8.774,20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61B0" w14:textId="77777777" w:rsidR="00E12C2E" w:rsidRPr="00E12C2E" w:rsidRDefault="00E12C2E" w:rsidP="00E12C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>34%</w:t>
            </w:r>
          </w:p>
        </w:tc>
      </w:tr>
      <w:tr w:rsidR="00E12C2E" w:rsidRPr="00E12C2E" w14:paraId="4D9FF59A" w14:textId="77777777" w:rsidTr="00E12C2E">
        <w:trPr>
          <w:trHeight w:val="32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7CBC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>Homem Negro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1AC0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 xml:space="preserve"> R$  4.768,70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2B83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 xml:space="preserve"> R$  6.272,20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32C8" w14:textId="77777777" w:rsidR="00E12C2E" w:rsidRPr="00E12C2E" w:rsidRDefault="00E12C2E" w:rsidP="00E12C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>32%</w:t>
            </w:r>
          </w:p>
        </w:tc>
      </w:tr>
      <w:tr w:rsidR="00E12C2E" w:rsidRPr="00E12C2E" w14:paraId="1077EF31" w14:textId="77777777" w:rsidTr="00E12C2E">
        <w:trPr>
          <w:trHeight w:val="32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F1B6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>Mulher Branca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81A6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 xml:space="preserve"> R$  5.261,60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8F6D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 xml:space="preserve"> R$  7.753,80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256F" w14:textId="77777777" w:rsidR="00E12C2E" w:rsidRPr="00E12C2E" w:rsidRDefault="00E12C2E" w:rsidP="00E12C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>47%</w:t>
            </w:r>
          </w:p>
        </w:tc>
      </w:tr>
      <w:tr w:rsidR="00E12C2E" w:rsidRPr="00E12C2E" w14:paraId="2DE26B5D" w14:textId="77777777" w:rsidTr="00E12C2E">
        <w:trPr>
          <w:trHeight w:val="32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D270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>Mulher Negra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8EFE6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 xml:space="preserve"> R$  4.010,00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22E6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 xml:space="preserve"> R$  5.815,50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8AF3" w14:textId="77777777" w:rsidR="00E12C2E" w:rsidRPr="00E12C2E" w:rsidRDefault="00E12C2E" w:rsidP="00E12C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>45%</w:t>
            </w:r>
          </w:p>
        </w:tc>
      </w:tr>
    </w:tbl>
    <w:p w14:paraId="2DEB2042" w14:textId="4596672F" w:rsidR="006E0653" w:rsidRDefault="006E0653" w:rsidP="006E0653">
      <w:pPr>
        <w:pStyle w:val="Caption"/>
        <w:keepNext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Fonte: </w:t>
      </w:r>
      <w:r w:rsidR="003D26CA">
        <w:rPr>
          <w:rFonts w:ascii="Times New Roman" w:hAnsi="Times New Roman" w:cs="Times New Roman"/>
          <w:lang w:val="pt-BR"/>
        </w:rPr>
        <w:t>IPEA</w:t>
      </w:r>
    </w:p>
    <w:p w14:paraId="0646849B" w14:textId="7C152EC8" w:rsidR="001956C1" w:rsidRDefault="00A169EF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 gráfico abaixo mostra que, em todos os anos, </w:t>
      </w:r>
      <w:r w:rsidR="00322370" w:rsidRPr="00FF23C8">
        <w:rPr>
          <w:rFonts w:ascii="Times New Roman" w:hAnsi="Times New Roman" w:cs="Times New Roman"/>
          <w:lang w:val="pt-BR"/>
        </w:rPr>
        <w:t xml:space="preserve">homens brancos </w:t>
      </w:r>
      <w:r w:rsidR="00322370">
        <w:rPr>
          <w:rFonts w:ascii="Times New Roman" w:hAnsi="Times New Roman" w:cs="Times New Roman"/>
          <w:lang w:val="pt-BR"/>
        </w:rPr>
        <w:t>apresentaram</w:t>
      </w:r>
      <w:r w:rsidR="00322370" w:rsidRPr="00FF23C8">
        <w:rPr>
          <w:rFonts w:ascii="Times New Roman" w:hAnsi="Times New Roman" w:cs="Times New Roman"/>
          <w:lang w:val="pt-BR"/>
        </w:rPr>
        <w:t xml:space="preserve"> salário médio maior</w:t>
      </w:r>
      <w:r w:rsidR="003E6564">
        <w:rPr>
          <w:rFonts w:ascii="Times New Roman" w:hAnsi="Times New Roman" w:cs="Times New Roman"/>
          <w:lang w:val="pt-BR"/>
        </w:rPr>
        <w:t xml:space="preserve"> que as demais categorias</w:t>
      </w:r>
      <w:r w:rsidR="00322370" w:rsidRPr="00FF23C8">
        <w:rPr>
          <w:rFonts w:ascii="Times New Roman" w:hAnsi="Times New Roman" w:cs="Times New Roman"/>
          <w:lang w:val="pt-BR"/>
        </w:rPr>
        <w:t xml:space="preserve">, seguido </w:t>
      </w:r>
      <w:r w:rsidR="00533A99">
        <w:rPr>
          <w:rFonts w:ascii="Times New Roman" w:hAnsi="Times New Roman" w:cs="Times New Roman"/>
          <w:lang w:val="pt-BR"/>
        </w:rPr>
        <w:t>por</w:t>
      </w:r>
      <w:r w:rsidR="00322370" w:rsidRPr="00FF23C8">
        <w:rPr>
          <w:rFonts w:ascii="Times New Roman" w:hAnsi="Times New Roman" w:cs="Times New Roman"/>
          <w:lang w:val="pt-BR"/>
        </w:rPr>
        <w:t xml:space="preserve"> mulheres brancas, homens negros e</w:t>
      </w:r>
      <w:r w:rsidR="00322370">
        <w:rPr>
          <w:rFonts w:ascii="Times New Roman" w:hAnsi="Times New Roman" w:cs="Times New Roman"/>
          <w:lang w:val="pt-BR"/>
        </w:rPr>
        <w:t>, por último,</w:t>
      </w:r>
      <w:r w:rsidR="00322370" w:rsidRPr="00FF23C8">
        <w:rPr>
          <w:rFonts w:ascii="Times New Roman" w:hAnsi="Times New Roman" w:cs="Times New Roman"/>
          <w:lang w:val="pt-BR"/>
        </w:rPr>
        <w:t xml:space="preserve"> mulheres negras.</w:t>
      </w:r>
    </w:p>
    <w:p w14:paraId="55A2A352" w14:textId="5B60651E" w:rsidR="003E6564" w:rsidRDefault="003E6564" w:rsidP="00533A99">
      <w:pPr>
        <w:jc w:val="both"/>
        <w:rPr>
          <w:rFonts w:ascii="Times New Roman" w:hAnsi="Times New Roman" w:cs="Times New Roman"/>
          <w:lang w:val="pt-BR"/>
        </w:rPr>
      </w:pPr>
    </w:p>
    <w:p w14:paraId="4A78AF08" w14:textId="7BEC8BCC" w:rsidR="003E6564" w:rsidRDefault="003E6564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Também é possível observar do gráfico que, apesar das disparidades, </w:t>
      </w:r>
      <w:r w:rsidR="00794966">
        <w:rPr>
          <w:rFonts w:ascii="Times New Roman" w:hAnsi="Times New Roman" w:cs="Times New Roman"/>
          <w:lang w:val="pt-BR"/>
        </w:rPr>
        <w:t>o salário médio de todas as categorias</w:t>
      </w:r>
      <w:r>
        <w:rPr>
          <w:rFonts w:ascii="Times New Roman" w:hAnsi="Times New Roman" w:cs="Times New Roman"/>
          <w:lang w:val="pt-BR"/>
        </w:rPr>
        <w:t xml:space="preserve"> se comport</w:t>
      </w:r>
      <w:r w:rsidR="00794966">
        <w:rPr>
          <w:rFonts w:ascii="Times New Roman" w:hAnsi="Times New Roman" w:cs="Times New Roman"/>
          <w:lang w:val="pt-BR"/>
        </w:rPr>
        <w:t>ou</w:t>
      </w:r>
      <w:r>
        <w:rPr>
          <w:rFonts w:ascii="Times New Roman" w:hAnsi="Times New Roman" w:cs="Times New Roman"/>
          <w:lang w:val="pt-BR"/>
        </w:rPr>
        <w:t xml:space="preserve"> de maneira similar, isto é, certa estabilidade entre 1999 e 2006, crescimento entre 2006 e 2011</w:t>
      </w:r>
      <w:r w:rsidR="00794966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e nova estabilidade entre 2011 e 2020.</w:t>
      </w:r>
    </w:p>
    <w:p w14:paraId="3CBC06BF" w14:textId="145BAE1F" w:rsidR="008415A2" w:rsidRDefault="008415A2" w:rsidP="00533A99">
      <w:pPr>
        <w:jc w:val="both"/>
        <w:rPr>
          <w:rFonts w:ascii="Times New Roman" w:hAnsi="Times New Roman" w:cs="Times New Roman"/>
          <w:lang w:val="pt-BR"/>
        </w:rPr>
      </w:pPr>
    </w:p>
    <w:p w14:paraId="47513582" w14:textId="432C36FC" w:rsidR="001956C1" w:rsidRDefault="008415A2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Importante ressaltar </w:t>
      </w:r>
      <w:r>
        <w:rPr>
          <w:rFonts w:ascii="Times New Roman" w:hAnsi="Times New Roman" w:cs="Times New Roman"/>
          <w:lang w:val="pt-BR"/>
        </w:rPr>
        <w:t>aqui que</w:t>
      </w:r>
      <w:r>
        <w:rPr>
          <w:rFonts w:ascii="Times New Roman" w:hAnsi="Times New Roman" w:cs="Times New Roman"/>
          <w:lang w:val="pt-BR"/>
        </w:rPr>
        <w:t>, conforme informações do IPEA</w:t>
      </w:r>
      <w:r w:rsidR="00FD4C5E">
        <w:rPr>
          <w:rStyle w:val="FootnoteReference"/>
          <w:rFonts w:ascii="Times New Roman" w:hAnsi="Times New Roman" w:cs="Times New Roman"/>
          <w:lang w:val="pt-BR"/>
        </w:rPr>
        <w:footnoteReference w:id="3"/>
      </w:r>
      <w:r>
        <w:rPr>
          <w:rFonts w:ascii="Times New Roman" w:hAnsi="Times New Roman" w:cs="Times New Roman"/>
          <w:lang w:val="pt-BR"/>
        </w:rPr>
        <w:t>, tratam-se de valores reais, deflacionadas pelo IPCA de fevereiro de 2020.</w:t>
      </w:r>
      <w:r>
        <w:rPr>
          <w:rFonts w:ascii="Times New Roman" w:hAnsi="Times New Roman" w:cs="Times New Roman"/>
          <w:lang w:val="pt-BR"/>
        </w:rPr>
        <w:t xml:space="preserve"> Ou seja, todas as categorias de servidores públicos</w:t>
      </w:r>
      <w:r w:rsidR="004A0815">
        <w:rPr>
          <w:rFonts w:ascii="Times New Roman" w:hAnsi="Times New Roman" w:cs="Times New Roman"/>
          <w:lang w:val="pt-BR"/>
        </w:rPr>
        <w:t xml:space="preserve"> </w:t>
      </w:r>
      <w:r w:rsidR="003D26CA">
        <w:rPr>
          <w:rFonts w:ascii="Times New Roman" w:hAnsi="Times New Roman" w:cs="Times New Roman"/>
          <w:lang w:val="pt-BR"/>
        </w:rPr>
        <w:t xml:space="preserve">civis </w:t>
      </w:r>
      <w:r w:rsidR="004A0815">
        <w:rPr>
          <w:rFonts w:ascii="Times New Roman" w:hAnsi="Times New Roman" w:cs="Times New Roman"/>
          <w:lang w:val="pt-BR"/>
        </w:rPr>
        <w:t>federais ativos</w:t>
      </w:r>
      <w:r>
        <w:rPr>
          <w:rFonts w:ascii="Times New Roman" w:hAnsi="Times New Roman" w:cs="Times New Roman"/>
          <w:lang w:val="pt-BR"/>
        </w:rPr>
        <w:t xml:space="preserve"> tiveram aumento </w:t>
      </w:r>
      <w:r w:rsidR="00E12C2E">
        <w:rPr>
          <w:rFonts w:ascii="Times New Roman" w:hAnsi="Times New Roman" w:cs="Times New Roman"/>
          <w:lang w:val="pt-BR"/>
        </w:rPr>
        <w:t xml:space="preserve">real </w:t>
      </w:r>
      <w:r w:rsidR="00B07288">
        <w:rPr>
          <w:rFonts w:ascii="Times New Roman" w:hAnsi="Times New Roman" w:cs="Times New Roman"/>
          <w:lang w:val="pt-BR"/>
        </w:rPr>
        <w:t xml:space="preserve">em seu </w:t>
      </w:r>
      <w:r>
        <w:rPr>
          <w:rFonts w:ascii="Times New Roman" w:hAnsi="Times New Roman" w:cs="Times New Roman"/>
          <w:lang w:val="pt-BR"/>
        </w:rPr>
        <w:t>salarial médio</w:t>
      </w:r>
      <w:r w:rsidR="004A0815">
        <w:rPr>
          <w:rFonts w:ascii="Times New Roman" w:hAnsi="Times New Roman" w:cs="Times New Roman"/>
          <w:lang w:val="pt-BR"/>
        </w:rPr>
        <w:t xml:space="preserve"> entre 1999 e 2020.</w:t>
      </w:r>
    </w:p>
    <w:p w14:paraId="663B99C2" w14:textId="11DFAB17" w:rsidR="006D51AD" w:rsidRPr="00446B26" w:rsidRDefault="006D51AD" w:rsidP="005F720E">
      <w:pPr>
        <w:pStyle w:val="Caption"/>
        <w:keepNext/>
        <w:spacing w:after="0"/>
        <w:jc w:val="center"/>
        <w:rPr>
          <w:sz w:val="20"/>
          <w:szCs w:val="20"/>
        </w:rPr>
      </w:pPr>
      <w:r w:rsidRPr="00446B26">
        <w:rPr>
          <w:sz w:val="20"/>
          <w:szCs w:val="20"/>
        </w:rPr>
        <w:lastRenderedPageBreak/>
        <w:t xml:space="preserve">Gráfico </w:t>
      </w:r>
      <w:r w:rsidRPr="00446B26">
        <w:rPr>
          <w:sz w:val="20"/>
          <w:szCs w:val="20"/>
        </w:rPr>
        <w:fldChar w:fldCharType="begin"/>
      </w:r>
      <w:r w:rsidRPr="00446B26">
        <w:rPr>
          <w:sz w:val="20"/>
          <w:szCs w:val="20"/>
        </w:rPr>
        <w:instrText xml:space="preserve"> SEQ Gráfico \* ARABIC </w:instrText>
      </w:r>
      <w:r w:rsidRPr="00446B26">
        <w:rPr>
          <w:sz w:val="20"/>
          <w:szCs w:val="20"/>
        </w:rPr>
        <w:fldChar w:fldCharType="separate"/>
      </w:r>
      <w:r w:rsidR="00446B26" w:rsidRPr="00446B26">
        <w:rPr>
          <w:noProof/>
          <w:sz w:val="20"/>
          <w:szCs w:val="20"/>
        </w:rPr>
        <w:t>1</w:t>
      </w:r>
      <w:r w:rsidRPr="00446B26">
        <w:rPr>
          <w:sz w:val="20"/>
          <w:szCs w:val="20"/>
        </w:rPr>
        <w:fldChar w:fldCharType="end"/>
      </w:r>
      <w:r w:rsidRPr="00446B26">
        <w:rPr>
          <w:sz w:val="20"/>
          <w:szCs w:val="20"/>
          <w:lang w:val="pt-BR"/>
        </w:rPr>
        <w:t xml:space="preserve"> - Remuneração líquida média mensal no Executivo civil federal ativo, por sexo e raça (1999-2020)</w:t>
      </w:r>
    </w:p>
    <w:p w14:paraId="021F2980" w14:textId="3FE99A95" w:rsidR="00322370" w:rsidRDefault="006D51AD" w:rsidP="0027466E">
      <w:pPr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7FDC0DE8" wp14:editId="48CEE832">
            <wp:extent cx="5104151" cy="29168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544" cy="293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0C1A" w14:textId="025A8B78" w:rsidR="00A169EF" w:rsidRDefault="003D26CA" w:rsidP="00CA1044">
      <w:pPr>
        <w:pStyle w:val="Caption"/>
        <w:keepNext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Fonte: IPEA</w:t>
      </w:r>
    </w:p>
    <w:p w14:paraId="66A535EF" w14:textId="77777777" w:rsidR="005F720E" w:rsidRPr="005F720E" w:rsidRDefault="005F720E" w:rsidP="005F720E">
      <w:pPr>
        <w:rPr>
          <w:lang w:val="pt-BR"/>
        </w:rPr>
      </w:pPr>
    </w:p>
    <w:p w14:paraId="6525C806" w14:textId="28CA3D2B" w:rsidR="00A169EF" w:rsidRDefault="008703C0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 mapa de calor abaixo ilustra </w:t>
      </w:r>
      <w:r w:rsidR="0063691C">
        <w:rPr>
          <w:rFonts w:ascii="Times New Roman" w:hAnsi="Times New Roman" w:cs="Times New Roman"/>
          <w:lang w:val="pt-BR"/>
        </w:rPr>
        <w:t xml:space="preserve">a </w:t>
      </w:r>
      <w:r w:rsidR="00204142">
        <w:rPr>
          <w:rFonts w:ascii="Times New Roman" w:hAnsi="Times New Roman" w:cs="Times New Roman"/>
          <w:lang w:val="pt-BR"/>
        </w:rPr>
        <w:t>desigualdade</w:t>
      </w:r>
      <w:r w:rsidR="0063691C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dos salários médios por cat</w:t>
      </w:r>
      <w:r w:rsidR="007266D3">
        <w:rPr>
          <w:rFonts w:ascii="Times New Roman" w:hAnsi="Times New Roman" w:cs="Times New Roman"/>
          <w:lang w:val="pt-BR"/>
        </w:rPr>
        <w:t xml:space="preserve">egoria. </w:t>
      </w:r>
      <w:r w:rsidR="0063691C">
        <w:rPr>
          <w:rFonts w:ascii="Times New Roman" w:hAnsi="Times New Roman" w:cs="Times New Roman"/>
          <w:lang w:val="pt-BR"/>
        </w:rPr>
        <w:t>Nota-se que os salários mais altos, representados pela cor azul, estão concentrados nas categorias de pessoas brancas</w:t>
      </w:r>
      <w:r w:rsidR="000F45B3">
        <w:rPr>
          <w:rFonts w:ascii="Times New Roman" w:hAnsi="Times New Roman" w:cs="Times New Roman"/>
          <w:lang w:val="pt-BR"/>
        </w:rPr>
        <w:t>. Os negros, por sua vez</w:t>
      </w:r>
      <w:r w:rsidR="003B340F">
        <w:rPr>
          <w:rFonts w:ascii="Times New Roman" w:hAnsi="Times New Roman" w:cs="Times New Roman"/>
          <w:lang w:val="pt-BR"/>
        </w:rPr>
        <w:t xml:space="preserve">, apenas por volta de 2010 passaram </w:t>
      </w:r>
      <w:r w:rsidR="00733C63">
        <w:rPr>
          <w:rFonts w:ascii="Times New Roman" w:hAnsi="Times New Roman" w:cs="Times New Roman"/>
          <w:lang w:val="pt-BR"/>
        </w:rPr>
        <w:t>a receber</w:t>
      </w:r>
      <w:r w:rsidR="003B340F">
        <w:rPr>
          <w:rFonts w:ascii="Times New Roman" w:hAnsi="Times New Roman" w:cs="Times New Roman"/>
          <w:lang w:val="pt-BR"/>
        </w:rPr>
        <w:t xml:space="preserve"> tons de amarelo</w:t>
      </w:r>
      <w:r w:rsidR="00733C63">
        <w:rPr>
          <w:rFonts w:ascii="Times New Roman" w:hAnsi="Times New Roman" w:cs="Times New Roman"/>
          <w:lang w:val="pt-BR"/>
        </w:rPr>
        <w:t>, que representam valores médios, não chegando, em nenhum ano, a receber a coloração azul em sua média salarial.</w:t>
      </w:r>
    </w:p>
    <w:p w14:paraId="180E4889" w14:textId="770163EB" w:rsidR="000F45B3" w:rsidRDefault="000F45B3" w:rsidP="00533A99">
      <w:pPr>
        <w:jc w:val="both"/>
        <w:rPr>
          <w:rFonts w:ascii="Times New Roman" w:hAnsi="Times New Roman" w:cs="Times New Roman"/>
          <w:lang w:val="pt-BR"/>
        </w:rPr>
      </w:pPr>
    </w:p>
    <w:p w14:paraId="12248A26" w14:textId="47237E36" w:rsidR="005F720E" w:rsidRPr="00446B26" w:rsidRDefault="005F720E" w:rsidP="005F720E">
      <w:pPr>
        <w:pStyle w:val="Caption"/>
        <w:keepNext/>
        <w:spacing w:after="0"/>
        <w:jc w:val="center"/>
        <w:rPr>
          <w:sz w:val="20"/>
          <w:szCs w:val="20"/>
        </w:rPr>
      </w:pPr>
      <w:r w:rsidRPr="00446B26">
        <w:rPr>
          <w:sz w:val="20"/>
          <w:szCs w:val="20"/>
        </w:rPr>
        <w:t xml:space="preserve">Gráfico </w:t>
      </w:r>
      <w:r w:rsidRPr="00446B26">
        <w:rPr>
          <w:sz w:val="20"/>
          <w:szCs w:val="20"/>
        </w:rPr>
        <w:fldChar w:fldCharType="begin"/>
      </w:r>
      <w:r w:rsidRPr="00446B26">
        <w:rPr>
          <w:sz w:val="20"/>
          <w:szCs w:val="20"/>
        </w:rPr>
        <w:instrText xml:space="preserve"> SEQ Gráfico \* ARABIC </w:instrText>
      </w:r>
      <w:r w:rsidRPr="00446B26">
        <w:rPr>
          <w:sz w:val="20"/>
          <w:szCs w:val="20"/>
        </w:rPr>
        <w:fldChar w:fldCharType="separate"/>
      </w:r>
      <w:r w:rsidR="00446B26" w:rsidRPr="00446B26">
        <w:rPr>
          <w:noProof/>
          <w:sz w:val="20"/>
          <w:szCs w:val="20"/>
        </w:rPr>
        <w:t>2</w:t>
      </w:r>
      <w:r w:rsidRPr="00446B26">
        <w:rPr>
          <w:sz w:val="20"/>
          <w:szCs w:val="20"/>
        </w:rPr>
        <w:fldChar w:fldCharType="end"/>
      </w:r>
      <w:r w:rsidRPr="00446B26">
        <w:rPr>
          <w:sz w:val="20"/>
          <w:szCs w:val="20"/>
          <w:lang w:val="pt-BR"/>
        </w:rPr>
        <w:t xml:space="preserve"> - Mapa de calor da remuneração média mensal, por ano e por categoria</w:t>
      </w:r>
    </w:p>
    <w:p w14:paraId="0B631866" w14:textId="722517F9" w:rsidR="000F45B3" w:rsidRDefault="005F720E" w:rsidP="0027466E">
      <w:pPr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14158D64" wp14:editId="4CECFC7A">
            <wp:extent cx="5726244" cy="28631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683" cy="291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491F" w14:textId="2FC144A5" w:rsidR="007266D3" w:rsidRDefault="003D26CA" w:rsidP="003D26CA">
      <w:pPr>
        <w:pStyle w:val="Caption"/>
        <w:keepNext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Fonte: IPEA</w:t>
      </w:r>
    </w:p>
    <w:p w14:paraId="3059B104" w14:textId="7BE8AED5" w:rsidR="007266D3" w:rsidRDefault="007266D3" w:rsidP="00533A99">
      <w:pPr>
        <w:jc w:val="both"/>
        <w:rPr>
          <w:rFonts w:ascii="Times New Roman" w:hAnsi="Times New Roman" w:cs="Times New Roman"/>
          <w:lang w:val="pt-BR"/>
        </w:rPr>
      </w:pPr>
    </w:p>
    <w:p w14:paraId="28880D0D" w14:textId="33C608DE" w:rsidR="007266D3" w:rsidRDefault="00446B26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t>O gráfico a seguir</w:t>
      </w:r>
      <w:r w:rsidR="00733C63">
        <w:rPr>
          <w:rFonts w:ascii="Times New Roman" w:hAnsi="Times New Roman" w:cs="Times New Roman"/>
          <w:lang w:val="pt-BR"/>
        </w:rPr>
        <w:t xml:space="preserve"> compara todos os dados disponíveis com o salário </w:t>
      </w:r>
      <w:r w:rsidR="0045516B">
        <w:rPr>
          <w:rFonts w:ascii="Times New Roman" w:hAnsi="Times New Roman" w:cs="Times New Roman"/>
          <w:lang w:val="pt-BR"/>
        </w:rPr>
        <w:t xml:space="preserve">de 1999 </w:t>
      </w:r>
      <w:r w:rsidR="00733C63">
        <w:rPr>
          <w:rFonts w:ascii="Times New Roman" w:hAnsi="Times New Roman" w:cs="Times New Roman"/>
          <w:lang w:val="pt-BR"/>
        </w:rPr>
        <w:t>d</w:t>
      </w:r>
      <w:r w:rsidR="007C6B62">
        <w:rPr>
          <w:rFonts w:ascii="Times New Roman" w:hAnsi="Times New Roman" w:cs="Times New Roman"/>
          <w:lang w:val="pt-BR"/>
        </w:rPr>
        <w:t>a categoria</w:t>
      </w:r>
      <w:r w:rsidR="00733C63">
        <w:rPr>
          <w:rFonts w:ascii="Times New Roman" w:hAnsi="Times New Roman" w:cs="Times New Roman"/>
          <w:lang w:val="pt-BR"/>
        </w:rPr>
        <w:t xml:space="preserve"> homem branco.</w:t>
      </w:r>
      <w:r w:rsidR="007C6B62">
        <w:rPr>
          <w:rFonts w:ascii="Times New Roman" w:hAnsi="Times New Roman" w:cs="Times New Roman"/>
          <w:lang w:val="pt-BR"/>
        </w:rPr>
        <w:t xml:space="preserve"> Nota-se que o salário médio da mulher negra, em nenhum dos 21 anos pesquisados, chegou ao valor percebido, em média, pelo homem branco </w:t>
      </w:r>
      <w:r w:rsidR="00724501">
        <w:rPr>
          <w:rFonts w:ascii="Times New Roman" w:hAnsi="Times New Roman" w:cs="Times New Roman"/>
          <w:lang w:val="pt-BR"/>
        </w:rPr>
        <w:t>de</w:t>
      </w:r>
      <w:r w:rsidR="007C6B62">
        <w:rPr>
          <w:rFonts w:ascii="Times New Roman" w:hAnsi="Times New Roman" w:cs="Times New Roman"/>
          <w:lang w:val="pt-BR"/>
        </w:rPr>
        <w:t xml:space="preserve"> 1999. O homem negro, por sua vez, apenas em 201</w:t>
      </w:r>
      <w:r w:rsidR="00CA1044">
        <w:rPr>
          <w:rFonts w:ascii="Times New Roman" w:hAnsi="Times New Roman" w:cs="Times New Roman"/>
          <w:lang w:val="pt-BR"/>
        </w:rPr>
        <w:t>4</w:t>
      </w:r>
      <w:r w:rsidR="007C6B62">
        <w:rPr>
          <w:rFonts w:ascii="Times New Roman" w:hAnsi="Times New Roman" w:cs="Times New Roman"/>
          <w:lang w:val="pt-BR"/>
        </w:rPr>
        <w:t xml:space="preserve"> e 201</w:t>
      </w:r>
      <w:r w:rsidR="00CA1044">
        <w:rPr>
          <w:rFonts w:ascii="Times New Roman" w:hAnsi="Times New Roman" w:cs="Times New Roman"/>
          <w:lang w:val="pt-BR"/>
        </w:rPr>
        <w:t>7</w:t>
      </w:r>
      <w:r w:rsidR="007C6B62">
        <w:rPr>
          <w:rFonts w:ascii="Times New Roman" w:hAnsi="Times New Roman" w:cs="Times New Roman"/>
          <w:lang w:val="pt-BR"/>
        </w:rPr>
        <w:t xml:space="preserve"> atingiu o patamar salarial </w:t>
      </w:r>
      <w:r w:rsidR="00CA1044">
        <w:rPr>
          <w:rFonts w:ascii="Times New Roman" w:hAnsi="Times New Roman" w:cs="Times New Roman"/>
          <w:lang w:val="pt-BR"/>
        </w:rPr>
        <w:t xml:space="preserve">inicial </w:t>
      </w:r>
      <w:r w:rsidR="007C6B62">
        <w:rPr>
          <w:rFonts w:ascii="Times New Roman" w:hAnsi="Times New Roman" w:cs="Times New Roman"/>
          <w:lang w:val="pt-BR"/>
        </w:rPr>
        <w:t>do homem branc</w:t>
      </w:r>
      <w:r w:rsidR="00CA1044">
        <w:rPr>
          <w:rFonts w:ascii="Times New Roman" w:hAnsi="Times New Roman" w:cs="Times New Roman"/>
          <w:lang w:val="pt-BR"/>
        </w:rPr>
        <w:t>o</w:t>
      </w:r>
      <w:r w:rsidR="007C6B62">
        <w:rPr>
          <w:rFonts w:ascii="Times New Roman" w:hAnsi="Times New Roman" w:cs="Times New Roman"/>
          <w:lang w:val="pt-BR"/>
        </w:rPr>
        <w:t xml:space="preserve">. A mulher branca, por fim, apenas alcançou </w:t>
      </w:r>
      <w:r w:rsidR="00E3257C">
        <w:rPr>
          <w:rFonts w:ascii="Times New Roman" w:hAnsi="Times New Roman" w:cs="Times New Roman"/>
          <w:lang w:val="pt-BR"/>
        </w:rPr>
        <w:t>tal salário em 2009</w:t>
      </w:r>
      <w:r w:rsidR="000402E9">
        <w:rPr>
          <w:rFonts w:ascii="Times New Roman" w:hAnsi="Times New Roman" w:cs="Times New Roman"/>
          <w:lang w:val="pt-BR"/>
        </w:rPr>
        <w:t>, ou seja,</w:t>
      </w:r>
      <w:r w:rsidR="00724501">
        <w:rPr>
          <w:rFonts w:ascii="Times New Roman" w:hAnsi="Times New Roman" w:cs="Times New Roman"/>
          <w:lang w:val="pt-BR"/>
        </w:rPr>
        <w:t xml:space="preserve"> </w:t>
      </w:r>
      <w:r w:rsidR="00E3257C">
        <w:rPr>
          <w:rFonts w:ascii="Times New Roman" w:hAnsi="Times New Roman" w:cs="Times New Roman"/>
          <w:lang w:val="pt-BR"/>
        </w:rPr>
        <w:t>10 anos após o salário índice considerado.</w:t>
      </w:r>
    </w:p>
    <w:p w14:paraId="6F17B4F4" w14:textId="77777777" w:rsidR="008415A2" w:rsidRDefault="008415A2" w:rsidP="00533A99">
      <w:pPr>
        <w:jc w:val="both"/>
        <w:rPr>
          <w:rFonts w:ascii="Times New Roman" w:hAnsi="Times New Roman" w:cs="Times New Roman"/>
          <w:lang w:val="pt-BR"/>
        </w:rPr>
      </w:pPr>
    </w:p>
    <w:p w14:paraId="3AFE38A7" w14:textId="2CF505E2" w:rsidR="00446B26" w:rsidRPr="00446B26" w:rsidRDefault="00446B26" w:rsidP="00446B26">
      <w:pPr>
        <w:pStyle w:val="Caption"/>
        <w:keepNext/>
        <w:spacing w:after="0"/>
        <w:jc w:val="center"/>
        <w:rPr>
          <w:sz w:val="20"/>
          <w:szCs w:val="20"/>
        </w:rPr>
      </w:pPr>
      <w:r w:rsidRPr="00446B26">
        <w:rPr>
          <w:sz w:val="20"/>
          <w:szCs w:val="20"/>
        </w:rPr>
        <w:t xml:space="preserve">Gráfico </w:t>
      </w:r>
      <w:r w:rsidRPr="00446B26">
        <w:rPr>
          <w:sz w:val="20"/>
          <w:szCs w:val="20"/>
        </w:rPr>
        <w:fldChar w:fldCharType="begin"/>
      </w:r>
      <w:r w:rsidRPr="00446B26">
        <w:rPr>
          <w:sz w:val="20"/>
          <w:szCs w:val="20"/>
        </w:rPr>
        <w:instrText xml:space="preserve"> SEQ Gráfico \* ARABIC </w:instrText>
      </w:r>
      <w:r w:rsidRPr="00446B26">
        <w:rPr>
          <w:sz w:val="20"/>
          <w:szCs w:val="20"/>
        </w:rPr>
        <w:fldChar w:fldCharType="separate"/>
      </w:r>
      <w:r w:rsidRPr="00446B26">
        <w:rPr>
          <w:noProof/>
          <w:sz w:val="20"/>
          <w:szCs w:val="20"/>
        </w:rPr>
        <w:t>3</w:t>
      </w:r>
      <w:r w:rsidRPr="00446B26">
        <w:rPr>
          <w:sz w:val="20"/>
          <w:szCs w:val="20"/>
        </w:rPr>
        <w:fldChar w:fldCharType="end"/>
      </w:r>
      <w:r w:rsidRPr="00446B26">
        <w:rPr>
          <w:sz w:val="20"/>
          <w:szCs w:val="20"/>
          <w:lang w:val="pt-BR"/>
        </w:rPr>
        <w:t xml:space="preserve"> - Comparação do salário médio do Homem Branco de 1999 com o das demais categorias</w:t>
      </w:r>
    </w:p>
    <w:p w14:paraId="42D1540F" w14:textId="77777777" w:rsidR="00446B26" w:rsidRDefault="00446B26" w:rsidP="00446B26">
      <w:pPr>
        <w:pStyle w:val="Caption"/>
        <w:keepNext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677A2D17" wp14:editId="22598116">
            <wp:extent cx="4249712" cy="24286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951" cy="247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F861" w14:textId="7BF6B6D7" w:rsidR="007266D3" w:rsidRDefault="00CA1044" w:rsidP="00446B26">
      <w:pPr>
        <w:pStyle w:val="Caption"/>
        <w:keepNext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Fonte: IPEA</w:t>
      </w:r>
    </w:p>
    <w:p w14:paraId="376C5386" w14:textId="51CD1DE9" w:rsidR="007266D3" w:rsidRDefault="007266D3" w:rsidP="00533A99">
      <w:pPr>
        <w:jc w:val="both"/>
        <w:rPr>
          <w:rFonts w:ascii="Times New Roman" w:hAnsi="Times New Roman" w:cs="Times New Roman"/>
          <w:lang w:val="pt-BR"/>
        </w:rPr>
      </w:pPr>
    </w:p>
    <w:p w14:paraId="07148F4B" w14:textId="4CD759CD" w:rsidR="00204142" w:rsidRDefault="00724501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 disparidade salarial por categoria de sexo e raça fica bastante clara ao analisar os dados salariais médios do executivo federal brasileiro. </w:t>
      </w:r>
      <w:r w:rsidR="00204142">
        <w:rPr>
          <w:rFonts w:ascii="Times New Roman" w:hAnsi="Times New Roman" w:cs="Times New Roman"/>
          <w:lang w:val="pt-BR"/>
        </w:rPr>
        <w:t xml:space="preserve">É importante ressaltar, no entanto, que, ainda que lentamente, esta diferença </w:t>
      </w:r>
      <w:r w:rsidR="0045516B">
        <w:rPr>
          <w:rFonts w:ascii="Times New Roman" w:hAnsi="Times New Roman" w:cs="Times New Roman"/>
          <w:lang w:val="pt-BR"/>
        </w:rPr>
        <w:t>está</w:t>
      </w:r>
      <w:r w:rsidR="00204142">
        <w:rPr>
          <w:rFonts w:ascii="Times New Roman" w:hAnsi="Times New Roman" w:cs="Times New Roman"/>
          <w:lang w:val="pt-BR"/>
        </w:rPr>
        <w:t xml:space="preserve"> ca</w:t>
      </w:r>
      <w:r w:rsidR="0045516B">
        <w:rPr>
          <w:rFonts w:ascii="Times New Roman" w:hAnsi="Times New Roman" w:cs="Times New Roman"/>
          <w:lang w:val="pt-BR"/>
        </w:rPr>
        <w:t>in</w:t>
      </w:r>
      <w:r w:rsidR="00204142">
        <w:rPr>
          <w:rFonts w:ascii="Times New Roman" w:hAnsi="Times New Roman" w:cs="Times New Roman"/>
          <w:lang w:val="pt-BR"/>
        </w:rPr>
        <w:t xml:space="preserve">do para mulheres brancas </w:t>
      </w:r>
      <w:r w:rsidR="000D5B4C">
        <w:rPr>
          <w:rFonts w:ascii="Times New Roman" w:hAnsi="Times New Roman" w:cs="Times New Roman"/>
          <w:lang w:val="pt-BR"/>
        </w:rPr>
        <w:t xml:space="preserve">e </w:t>
      </w:r>
      <w:r w:rsidR="00073503">
        <w:rPr>
          <w:rFonts w:ascii="Times New Roman" w:hAnsi="Times New Roman" w:cs="Times New Roman"/>
          <w:lang w:val="pt-BR"/>
        </w:rPr>
        <w:t xml:space="preserve">mulheres </w:t>
      </w:r>
      <w:r w:rsidR="000D5B4C">
        <w:rPr>
          <w:rFonts w:ascii="Times New Roman" w:hAnsi="Times New Roman" w:cs="Times New Roman"/>
          <w:lang w:val="pt-BR"/>
        </w:rPr>
        <w:t xml:space="preserve">negras. </w:t>
      </w:r>
      <w:r w:rsidR="00290A8B">
        <w:rPr>
          <w:rFonts w:ascii="Times New Roman" w:hAnsi="Times New Roman" w:cs="Times New Roman"/>
          <w:lang w:val="pt-BR"/>
        </w:rPr>
        <w:t xml:space="preserve">As mulheres brancas, em 1999, recebiam, em média, 81% do salário médio dos homens brancos. Em 2020, esse percentual subiu para 88%. Já as mulheres negras, em 1999, recebiam 61% do salário do homem branco. Em 2020, </w:t>
      </w:r>
      <w:r w:rsidR="0045516B">
        <w:rPr>
          <w:rFonts w:ascii="Times New Roman" w:hAnsi="Times New Roman" w:cs="Times New Roman"/>
          <w:lang w:val="pt-BR"/>
        </w:rPr>
        <w:t xml:space="preserve">a proporção </w:t>
      </w:r>
      <w:r w:rsidR="003A678F">
        <w:rPr>
          <w:rFonts w:ascii="Times New Roman" w:hAnsi="Times New Roman" w:cs="Times New Roman"/>
          <w:lang w:val="pt-BR"/>
        </w:rPr>
        <w:t>aumentou</w:t>
      </w:r>
      <w:r w:rsidR="00290A8B">
        <w:rPr>
          <w:rFonts w:ascii="Times New Roman" w:hAnsi="Times New Roman" w:cs="Times New Roman"/>
          <w:lang w:val="pt-BR"/>
        </w:rPr>
        <w:t xml:space="preserve"> para 66%.</w:t>
      </w:r>
    </w:p>
    <w:p w14:paraId="3E5E4BC3" w14:textId="428D4850" w:rsidR="00290A8B" w:rsidRDefault="00290A8B" w:rsidP="00533A99">
      <w:pPr>
        <w:jc w:val="both"/>
        <w:rPr>
          <w:rFonts w:ascii="Times New Roman" w:hAnsi="Times New Roman" w:cs="Times New Roman"/>
          <w:lang w:val="pt-BR"/>
        </w:rPr>
      </w:pPr>
    </w:p>
    <w:p w14:paraId="411C020C" w14:textId="171E3096" w:rsidR="00290A8B" w:rsidRDefault="00290A8B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Para os homens negros, no entanto, esta diferença foi ampliada no período analisado. Em 1999, a média do salário do homem negro era 73% do salário do homem branco</w:t>
      </w:r>
      <w:r w:rsidR="00073503">
        <w:rPr>
          <w:rFonts w:ascii="Times New Roman" w:hAnsi="Times New Roman" w:cs="Times New Roman"/>
          <w:lang w:val="pt-BR"/>
        </w:rPr>
        <w:t xml:space="preserve"> e, e</w:t>
      </w:r>
      <w:r>
        <w:rPr>
          <w:rFonts w:ascii="Times New Roman" w:hAnsi="Times New Roman" w:cs="Times New Roman"/>
          <w:lang w:val="pt-BR"/>
        </w:rPr>
        <w:t xml:space="preserve">m 2020, </w:t>
      </w:r>
      <w:r w:rsidR="00724D1C">
        <w:rPr>
          <w:rFonts w:ascii="Times New Roman" w:hAnsi="Times New Roman" w:cs="Times New Roman"/>
          <w:lang w:val="pt-BR"/>
        </w:rPr>
        <w:t>este valor</w:t>
      </w:r>
      <w:r>
        <w:rPr>
          <w:rFonts w:ascii="Times New Roman" w:hAnsi="Times New Roman" w:cs="Times New Roman"/>
          <w:lang w:val="pt-BR"/>
        </w:rPr>
        <w:t xml:space="preserve"> caiu para 71%.</w:t>
      </w:r>
    </w:p>
    <w:p w14:paraId="72677EC0" w14:textId="077690FA" w:rsidR="0058154D" w:rsidRDefault="0058154D" w:rsidP="00533A99">
      <w:pPr>
        <w:jc w:val="both"/>
        <w:rPr>
          <w:rFonts w:ascii="Times New Roman" w:hAnsi="Times New Roman" w:cs="Times New Roman"/>
          <w:lang w:val="pt-BR"/>
        </w:rPr>
      </w:pPr>
    </w:p>
    <w:p w14:paraId="7F7CB1B3" w14:textId="2E1AA250" w:rsidR="005D574E" w:rsidRPr="00FF23C8" w:rsidRDefault="00496C9A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Devido à existência de isonomia salarial </w:t>
      </w:r>
      <w:r w:rsidR="00724D1C">
        <w:rPr>
          <w:rFonts w:ascii="Times New Roman" w:hAnsi="Times New Roman" w:cs="Times New Roman"/>
          <w:lang w:val="pt-BR"/>
        </w:rPr>
        <w:t xml:space="preserve">de cargos </w:t>
      </w:r>
      <w:r>
        <w:rPr>
          <w:rFonts w:ascii="Times New Roman" w:hAnsi="Times New Roman" w:cs="Times New Roman"/>
          <w:lang w:val="pt-BR"/>
        </w:rPr>
        <w:t>no serviço público</w:t>
      </w:r>
      <w:r w:rsidR="00861443">
        <w:rPr>
          <w:rStyle w:val="FootnoteReference"/>
          <w:rFonts w:ascii="Times New Roman" w:hAnsi="Times New Roman" w:cs="Times New Roman"/>
          <w:lang w:val="pt-BR"/>
        </w:rPr>
        <w:footnoteReference w:id="4"/>
      </w:r>
      <w:r>
        <w:rPr>
          <w:rFonts w:ascii="Times New Roman" w:hAnsi="Times New Roman" w:cs="Times New Roman"/>
          <w:lang w:val="pt-BR"/>
        </w:rPr>
        <w:t xml:space="preserve">, infere-se que tais diferenças </w:t>
      </w:r>
      <w:r w:rsidR="00174CB7">
        <w:rPr>
          <w:rFonts w:ascii="Times New Roman" w:hAnsi="Times New Roman" w:cs="Times New Roman"/>
          <w:lang w:val="pt-BR"/>
        </w:rPr>
        <w:t xml:space="preserve">se devam primordialmente </w:t>
      </w:r>
      <w:r w:rsidR="00E30A54">
        <w:rPr>
          <w:rFonts w:ascii="Times New Roman" w:hAnsi="Times New Roman" w:cs="Times New Roman"/>
          <w:lang w:val="pt-BR"/>
        </w:rPr>
        <w:t>às</w:t>
      </w:r>
      <w:r w:rsidR="00174CB7">
        <w:rPr>
          <w:rFonts w:ascii="Times New Roman" w:hAnsi="Times New Roman" w:cs="Times New Roman"/>
          <w:lang w:val="pt-BR"/>
        </w:rPr>
        <w:t xml:space="preserve"> </w:t>
      </w:r>
      <w:r w:rsidR="00E30A54">
        <w:rPr>
          <w:rFonts w:ascii="Times New Roman" w:hAnsi="Times New Roman" w:cs="Times New Roman"/>
          <w:lang w:val="pt-BR"/>
        </w:rPr>
        <w:t>desigualdades</w:t>
      </w:r>
      <w:r w:rsidR="00174CB7">
        <w:rPr>
          <w:rFonts w:ascii="Times New Roman" w:hAnsi="Times New Roman" w:cs="Times New Roman"/>
          <w:lang w:val="pt-BR"/>
        </w:rPr>
        <w:t xml:space="preserve"> estruturais da sociedade brasileira </w:t>
      </w:r>
      <w:r w:rsidR="00E30A54">
        <w:rPr>
          <w:rFonts w:ascii="Times New Roman" w:hAnsi="Times New Roman" w:cs="Times New Roman"/>
          <w:lang w:val="pt-BR"/>
        </w:rPr>
        <w:t>relacionadas</w:t>
      </w:r>
      <w:r w:rsidR="00E67372">
        <w:rPr>
          <w:rFonts w:ascii="Times New Roman" w:hAnsi="Times New Roman" w:cs="Times New Roman"/>
          <w:lang w:val="pt-BR"/>
        </w:rPr>
        <w:t>, especialmente,</w:t>
      </w:r>
      <w:r w:rsidR="00E30A54">
        <w:rPr>
          <w:rFonts w:ascii="Times New Roman" w:hAnsi="Times New Roman" w:cs="Times New Roman"/>
          <w:lang w:val="pt-BR"/>
        </w:rPr>
        <w:t xml:space="preserve"> ao acesso à educação e </w:t>
      </w:r>
      <w:r w:rsidR="00861443">
        <w:rPr>
          <w:rFonts w:ascii="Times New Roman" w:hAnsi="Times New Roman" w:cs="Times New Roman"/>
          <w:lang w:val="pt-BR"/>
        </w:rPr>
        <w:t xml:space="preserve">à </w:t>
      </w:r>
      <w:r w:rsidR="00D7253A">
        <w:rPr>
          <w:rFonts w:ascii="Times New Roman" w:hAnsi="Times New Roman" w:cs="Times New Roman"/>
          <w:lang w:val="pt-BR"/>
        </w:rPr>
        <w:t>diferença nas oportunidades oferecidas de acordo com as características de gênero e raça do indivíduo</w:t>
      </w:r>
      <w:r w:rsidR="001D69C6">
        <w:rPr>
          <w:rFonts w:ascii="Times New Roman" w:hAnsi="Times New Roman" w:cs="Times New Roman"/>
          <w:lang w:val="pt-BR"/>
        </w:rPr>
        <w:t xml:space="preserve"> (acesso aos cargos de chefia e assessoramento, por exemplo)</w:t>
      </w:r>
      <w:r w:rsidR="00D7253A">
        <w:rPr>
          <w:rFonts w:ascii="Times New Roman" w:hAnsi="Times New Roman" w:cs="Times New Roman"/>
          <w:lang w:val="pt-BR"/>
        </w:rPr>
        <w:t xml:space="preserve">. </w:t>
      </w:r>
      <w:r w:rsidR="00750310">
        <w:rPr>
          <w:rFonts w:ascii="Times New Roman" w:hAnsi="Times New Roman" w:cs="Times New Roman"/>
          <w:lang w:val="pt-BR"/>
        </w:rPr>
        <w:t>O aprofundamento desta análise</w:t>
      </w:r>
      <w:r w:rsidR="001D69C6">
        <w:rPr>
          <w:rFonts w:ascii="Times New Roman" w:hAnsi="Times New Roman" w:cs="Times New Roman"/>
          <w:lang w:val="pt-BR"/>
        </w:rPr>
        <w:t xml:space="preserve">, no entanto, depende do acesso a dados específicos relacionados à distribuição das pessoas </w:t>
      </w:r>
      <w:r w:rsidR="00F635BD">
        <w:rPr>
          <w:rFonts w:ascii="Times New Roman" w:hAnsi="Times New Roman" w:cs="Times New Roman"/>
          <w:lang w:val="pt-BR"/>
        </w:rPr>
        <w:t>entre cargos com diferentes remunerações</w:t>
      </w:r>
      <w:r w:rsidR="00B77382">
        <w:rPr>
          <w:rFonts w:ascii="Times New Roman" w:hAnsi="Times New Roman" w:cs="Times New Roman"/>
          <w:lang w:val="pt-BR"/>
        </w:rPr>
        <w:t xml:space="preserve"> e responsabilidades</w:t>
      </w:r>
      <w:r w:rsidR="00F635BD">
        <w:rPr>
          <w:rFonts w:ascii="Times New Roman" w:hAnsi="Times New Roman" w:cs="Times New Roman"/>
          <w:lang w:val="pt-BR"/>
        </w:rPr>
        <w:t>.</w:t>
      </w:r>
    </w:p>
    <w:sectPr w:rsidR="005D574E" w:rsidRPr="00FF2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0E3E5" w14:textId="77777777" w:rsidR="00DC46CB" w:rsidRDefault="00DC46CB" w:rsidP="00FD4C5E">
      <w:r>
        <w:separator/>
      </w:r>
    </w:p>
  </w:endnote>
  <w:endnote w:type="continuationSeparator" w:id="0">
    <w:p w14:paraId="04D736F5" w14:textId="77777777" w:rsidR="00DC46CB" w:rsidRDefault="00DC46CB" w:rsidP="00FD4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SansCJKjp-Regular-VKana">
    <w:altName w:val="Cambria"/>
    <w:panose1 w:val="020B0604020202020204"/>
    <w:charset w:val="00"/>
    <w:family w:val="roman"/>
    <w:notTrueType/>
    <w:pitch w:val="default"/>
  </w:font>
  <w:font w:name="NotoSansCJKjp-Bold-VKana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A2BEB" w14:textId="77777777" w:rsidR="00DC46CB" w:rsidRDefault="00DC46CB" w:rsidP="00FD4C5E">
      <w:r>
        <w:separator/>
      </w:r>
    </w:p>
  </w:footnote>
  <w:footnote w:type="continuationSeparator" w:id="0">
    <w:p w14:paraId="7E8A1348" w14:textId="77777777" w:rsidR="00DC46CB" w:rsidRDefault="00DC46CB" w:rsidP="00FD4C5E">
      <w:r>
        <w:continuationSeparator/>
      </w:r>
    </w:p>
  </w:footnote>
  <w:footnote w:id="1">
    <w:p w14:paraId="06C5DCAC" w14:textId="03BA7FA8" w:rsidR="00FD4C5E" w:rsidRPr="0045516B" w:rsidRDefault="00FD4C5E">
      <w:pPr>
        <w:pStyle w:val="FootnoteText"/>
        <w:rPr>
          <w:rFonts w:ascii="Calibri" w:hAnsi="Calibri" w:cs="Calibri"/>
          <w:lang w:val="pt-BR"/>
        </w:rPr>
      </w:pPr>
      <w:r w:rsidRPr="0045516B">
        <w:rPr>
          <w:rStyle w:val="FootnoteReference"/>
          <w:rFonts w:ascii="Calibri" w:hAnsi="Calibri" w:cs="Calibri"/>
        </w:rPr>
        <w:footnoteRef/>
      </w:r>
      <w:r w:rsidRPr="0045516B">
        <w:rPr>
          <w:rFonts w:ascii="Calibri" w:hAnsi="Calibri" w:cs="Calibri"/>
        </w:rPr>
        <w:t xml:space="preserve"> </w:t>
      </w:r>
      <w:r w:rsidRPr="0045516B">
        <w:rPr>
          <w:rFonts w:ascii="Calibri" w:hAnsi="Calibri" w:cs="Calibri"/>
          <w:lang w:val="pt-BR"/>
        </w:rPr>
        <w:t xml:space="preserve">Disponível em </w:t>
      </w:r>
      <w:hyperlink r:id="rId1" w:history="1">
        <w:r w:rsidRPr="0045516B">
          <w:rPr>
            <w:rStyle w:val="Hyperlink"/>
            <w:rFonts w:ascii="Calibri" w:hAnsi="Calibri" w:cs="Calibri"/>
            <w:lang w:val="pt-BR"/>
          </w:rPr>
          <w:t>https://www.ipea.gov.br/atlasestado/</w:t>
        </w:r>
      </w:hyperlink>
    </w:p>
  </w:footnote>
  <w:footnote w:id="2">
    <w:p w14:paraId="524D989E" w14:textId="48DF40ED" w:rsidR="007C6B62" w:rsidRPr="0045516B" w:rsidRDefault="007C6B62">
      <w:pPr>
        <w:pStyle w:val="FootnoteText"/>
        <w:rPr>
          <w:rFonts w:ascii="Calibri" w:hAnsi="Calibri" w:cs="Calibri"/>
          <w:lang w:val="pt-BR"/>
        </w:rPr>
      </w:pPr>
      <w:r w:rsidRPr="0045516B">
        <w:rPr>
          <w:rStyle w:val="FootnoteReference"/>
          <w:rFonts w:ascii="Calibri" w:hAnsi="Calibri" w:cs="Calibri"/>
        </w:rPr>
        <w:footnoteRef/>
      </w:r>
      <w:r w:rsidRPr="0045516B">
        <w:rPr>
          <w:rFonts w:ascii="Calibri" w:hAnsi="Calibri" w:cs="Calibri"/>
        </w:rPr>
        <w:t xml:space="preserve"> </w:t>
      </w:r>
      <w:r w:rsidRPr="0045516B">
        <w:rPr>
          <w:rFonts w:ascii="Calibri" w:hAnsi="Calibri" w:cs="Calibri"/>
          <w:lang w:val="pt-BR"/>
        </w:rPr>
        <w:t xml:space="preserve">Disponível em </w:t>
      </w:r>
      <w:hyperlink r:id="rId2" w:history="1">
        <w:r w:rsidRPr="0045516B">
          <w:rPr>
            <w:rStyle w:val="Hyperlink"/>
            <w:rFonts w:ascii="Calibri" w:hAnsi="Calibri" w:cs="Calibri"/>
            <w:lang w:val="pt-BR"/>
          </w:rPr>
          <w:t>https://www.ipea.gov.br/atlasestado/arquivos/downloads/5233-liquidosexoraca.csv</w:t>
        </w:r>
      </w:hyperlink>
      <w:r w:rsidRPr="0045516B">
        <w:rPr>
          <w:rFonts w:ascii="Calibri" w:hAnsi="Calibri" w:cs="Calibri"/>
          <w:lang w:val="pt-BR"/>
        </w:rPr>
        <w:t xml:space="preserve"> </w:t>
      </w:r>
    </w:p>
  </w:footnote>
  <w:footnote w:id="3">
    <w:p w14:paraId="084539C0" w14:textId="37D1C90A" w:rsidR="00FD4C5E" w:rsidRPr="0045516B" w:rsidRDefault="00FD4C5E">
      <w:pPr>
        <w:pStyle w:val="FootnoteText"/>
        <w:rPr>
          <w:rFonts w:ascii="Calibri" w:hAnsi="Calibri" w:cs="Calibri"/>
          <w:lang w:val="pt-BR"/>
        </w:rPr>
      </w:pPr>
      <w:r w:rsidRPr="0045516B">
        <w:rPr>
          <w:rStyle w:val="FootnoteReference"/>
          <w:rFonts w:ascii="Calibri" w:hAnsi="Calibri" w:cs="Calibri"/>
        </w:rPr>
        <w:footnoteRef/>
      </w:r>
      <w:r w:rsidRPr="0045516B">
        <w:rPr>
          <w:rFonts w:ascii="Calibri" w:hAnsi="Calibri" w:cs="Calibri"/>
        </w:rPr>
        <w:t xml:space="preserve"> </w:t>
      </w:r>
      <w:r w:rsidRPr="0045516B">
        <w:rPr>
          <w:rFonts w:ascii="Calibri" w:hAnsi="Calibri" w:cs="Calibri"/>
          <w:lang w:val="pt-BR"/>
        </w:rPr>
        <w:t xml:space="preserve">Disponível em </w:t>
      </w:r>
      <w:hyperlink r:id="rId3" w:history="1">
        <w:r w:rsidRPr="0045516B">
          <w:rPr>
            <w:rStyle w:val="Hyperlink"/>
            <w:rFonts w:ascii="Calibri" w:hAnsi="Calibri" w:cs="Calibri"/>
            <w:lang w:val="pt-BR"/>
          </w:rPr>
          <w:t>https://www.ipea.gov.br/atlasestado/cons</w:t>
        </w:r>
        <w:r w:rsidRPr="0045516B">
          <w:rPr>
            <w:rStyle w:val="Hyperlink"/>
            <w:rFonts w:ascii="Calibri" w:hAnsi="Calibri" w:cs="Calibri"/>
            <w:lang w:val="pt-BR"/>
          </w:rPr>
          <w:t>u</w:t>
        </w:r>
        <w:r w:rsidRPr="0045516B">
          <w:rPr>
            <w:rStyle w:val="Hyperlink"/>
            <w:rFonts w:ascii="Calibri" w:hAnsi="Calibri" w:cs="Calibri"/>
            <w:lang w:val="pt-BR"/>
          </w:rPr>
          <w:t>lta/145</w:t>
        </w:r>
      </w:hyperlink>
    </w:p>
  </w:footnote>
  <w:footnote w:id="4">
    <w:p w14:paraId="0A6A21DF" w14:textId="77777777" w:rsidR="00861443" w:rsidRPr="00724D1C" w:rsidRDefault="00861443" w:rsidP="00861443">
      <w:pPr>
        <w:jc w:val="both"/>
        <w:rPr>
          <w:rFonts w:ascii="Times New Roman" w:eastAsia="Times New Roman" w:hAnsi="Times New Roman" w:cs="Times New Roman"/>
          <w:lang w:val="pt-BR"/>
        </w:rPr>
      </w:pPr>
      <w:r>
        <w:rPr>
          <w:rStyle w:val="FootnoteReference"/>
        </w:rPr>
        <w:footnoteRef/>
      </w:r>
      <w:r>
        <w:t xml:space="preserve"> </w:t>
      </w:r>
      <w:r w:rsidRPr="00724D1C">
        <w:rPr>
          <w:rFonts w:ascii="Calibri" w:hAnsi="Calibri" w:cs="Calibri"/>
          <w:sz w:val="20"/>
          <w:szCs w:val="20"/>
          <w:lang w:val="pt-BR"/>
        </w:rPr>
        <w:t xml:space="preserve">Constituição Federal do Brasil, Art. 39, § 1º, </w:t>
      </w:r>
      <w:r>
        <w:rPr>
          <w:rFonts w:ascii="Calibri" w:hAnsi="Calibri" w:cs="Calibri"/>
          <w:sz w:val="20"/>
          <w:szCs w:val="20"/>
          <w:lang w:val="pt-BR"/>
        </w:rPr>
        <w:t xml:space="preserve">prevê que </w:t>
      </w:r>
      <w:r w:rsidRPr="00724D1C">
        <w:rPr>
          <w:rFonts w:ascii="Calibri" w:hAnsi="Calibri" w:cs="Calibri"/>
          <w:sz w:val="20"/>
          <w:szCs w:val="20"/>
          <w:lang w:val="pt-BR"/>
        </w:rPr>
        <w:t>a fixação dos valores de vencimento e dos demais componentes do sistema remuneratório observará: a natureza, o grau de responsabilidade e a complexidade dos cargos componentes de cada carreira; os requisitos para investidura e as peculiaridades dos cargos.</w:t>
      </w:r>
      <w:r>
        <w:rPr>
          <w:rFonts w:ascii="Open Sans" w:eastAsia="Times New Roman" w:hAnsi="Open Sans" w:cs="Open Sans"/>
          <w:color w:val="807C78"/>
          <w:sz w:val="21"/>
          <w:szCs w:val="21"/>
          <w:shd w:val="clear" w:color="auto" w:fill="FFFFFF"/>
          <w:lang w:val="pt-BR"/>
        </w:rPr>
        <w:t xml:space="preserve"> </w:t>
      </w:r>
    </w:p>
    <w:p w14:paraId="24A22647" w14:textId="77777777" w:rsidR="00861443" w:rsidRPr="00724D1C" w:rsidRDefault="00861443" w:rsidP="00861443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4E"/>
    <w:rsid w:val="0003322F"/>
    <w:rsid w:val="000402E9"/>
    <w:rsid w:val="00073503"/>
    <w:rsid w:val="000D5B4C"/>
    <w:rsid w:val="000F45B3"/>
    <w:rsid w:val="00174CB7"/>
    <w:rsid w:val="001956C1"/>
    <w:rsid w:val="001D69C6"/>
    <w:rsid w:val="00204142"/>
    <w:rsid w:val="0027466E"/>
    <w:rsid w:val="00290A8B"/>
    <w:rsid w:val="002B05B6"/>
    <w:rsid w:val="002B7142"/>
    <w:rsid w:val="00322370"/>
    <w:rsid w:val="003A086F"/>
    <w:rsid w:val="003A678F"/>
    <w:rsid w:val="003B340F"/>
    <w:rsid w:val="003C138F"/>
    <w:rsid w:val="003D26CA"/>
    <w:rsid w:val="003D36BE"/>
    <w:rsid w:val="003E6564"/>
    <w:rsid w:val="00446B26"/>
    <w:rsid w:val="0045516B"/>
    <w:rsid w:val="00496C9A"/>
    <w:rsid w:val="004A0815"/>
    <w:rsid w:val="00533A99"/>
    <w:rsid w:val="0058154D"/>
    <w:rsid w:val="005C133D"/>
    <w:rsid w:val="005D574E"/>
    <w:rsid w:val="005F720E"/>
    <w:rsid w:val="0063691C"/>
    <w:rsid w:val="006D51AD"/>
    <w:rsid w:val="006E0653"/>
    <w:rsid w:val="006E7E5E"/>
    <w:rsid w:val="00724501"/>
    <w:rsid w:val="00724D1C"/>
    <w:rsid w:val="007266D3"/>
    <w:rsid w:val="00733C63"/>
    <w:rsid w:val="00743BAC"/>
    <w:rsid w:val="00750310"/>
    <w:rsid w:val="00794966"/>
    <w:rsid w:val="007A799F"/>
    <w:rsid w:val="007C6B62"/>
    <w:rsid w:val="008415A2"/>
    <w:rsid w:val="00861443"/>
    <w:rsid w:val="008703C0"/>
    <w:rsid w:val="008F2B02"/>
    <w:rsid w:val="00A06498"/>
    <w:rsid w:val="00A169EF"/>
    <w:rsid w:val="00B07288"/>
    <w:rsid w:val="00B13CA7"/>
    <w:rsid w:val="00B26708"/>
    <w:rsid w:val="00B74370"/>
    <w:rsid w:val="00B77382"/>
    <w:rsid w:val="00CA1044"/>
    <w:rsid w:val="00CB19CA"/>
    <w:rsid w:val="00D7253A"/>
    <w:rsid w:val="00DC46CB"/>
    <w:rsid w:val="00E03E69"/>
    <w:rsid w:val="00E12C2E"/>
    <w:rsid w:val="00E30A54"/>
    <w:rsid w:val="00E3257C"/>
    <w:rsid w:val="00E67372"/>
    <w:rsid w:val="00F06600"/>
    <w:rsid w:val="00F12C86"/>
    <w:rsid w:val="00F635BD"/>
    <w:rsid w:val="00FD4C5E"/>
    <w:rsid w:val="00FF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F6269D"/>
  <w15:chartTrackingRefBased/>
  <w15:docId w15:val="{7E5B3943-F7E4-324F-BCB6-3C4B2000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3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5B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332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D4C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4C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4C5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FD4C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43BA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7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ipea.gov.br/atlasestado/consulta/145" TargetMode="External"/><Relationship Id="rId2" Type="http://schemas.openxmlformats.org/officeDocument/2006/relationships/hyperlink" Target="https://www.ipea.gov.br/atlasestado/arquivos/downloads/5233-liquidosexoraca.csv" TargetMode="External"/><Relationship Id="rId1" Type="http://schemas.openxmlformats.org/officeDocument/2006/relationships/hyperlink" Target="https://www.ipea.gov.br/atlasesta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30C7DD-6350-2D40-BDD3-40D08D73F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2022-05-14T19:01:00Z</dcterms:created>
  <dcterms:modified xsi:type="dcterms:W3CDTF">2022-05-15T16:03:00Z</dcterms:modified>
</cp:coreProperties>
</file>