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236"/>
            <w:shd w:val="clear" w:color="auto" w:fill="13233F"/>
          </w:tcPr>
          <w:p>
            <w:r>
              <w:rPr>
                <w:b/>
                <w:color w:val="FFFFFF"/>
                <w:sz w:val="22"/>
              </w:rPr>
              <w:t>Aura Minerals — Unidade Apoena (GAFI)</w:t>
            </w:r>
          </w:p>
          <w:p>
            <w:r>
              <w:rPr>
                <w:color w:val="FFFFFF"/>
                <w:sz w:val="18"/>
              </w:rPr>
              <w:t>Célula de Gestão de Contratos e Performance (CGC)</w:t>
            </w:r>
          </w:p>
        </w:tc>
        <w:tc>
          <w:tcPr>
            <w:tcW w:type="dxa" w:w="2835"/>
            <w:shd w:val="clear" w:color="auto" w:fill="F1602C"/>
          </w:tcPr>
          <w:p>
            <w:pPr>
              <w:jc w:val="center"/>
            </w:pPr>
            <w:r>
              <w:rPr>
                <w:b/>
                <w:color w:val="FFFFFF"/>
              </w:rPr>
              <w:t>FOR-CGC-MED-001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Rev. 00</w:t>
            </w:r>
          </w:p>
        </w:tc>
      </w:tr>
    </w:tbl>
    <w:p/>
    <w:p>
      <w:pPr>
        <w:jc w:val="center"/>
      </w:pPr>
      <w:r>
        <w:rPr>
          <w:b/>
          <w:color w:val="13233F"/>
          <w:sz w:val="26"/>
        </w:rPr>
        <w:t>FORMULÁRIO DE INSPEÇÃO TÉCNICA E QUALIDADE DA MEDIÇÃO</w:t>
      </w:r>
    </w:p>
    <w:p>
      <w:r>
        <w:rPr>
          <w:b/>
          <w:color w:val="F1602C"/>
        </w:rPr>
        <w:t xml:space="preserve">Vínculo SOX: </w:t>
      </w:r>
      <w:r>
        <w:t>Controle-chave C.PTP-06a (Recebimento de Serviços). Evidência de remediação do gap "falta de inspeção de qualidade documentada".</w:t>
      </w:r>
    </w:p>
    <w:p>
      <w:pPr>
        <w:spacing w:before="120"/>
      </w:pPr>
      <w:r>
        <w:rPr>
          <w:b/>
          <w:color w:val="13233F"/>
        </w:rPr>
        <w:t>1. IDENTIFICAÇÃO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Contrato: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Fornecedor: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Nº do BM: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Período da medição: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Valor medido (R$):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Fiscal responsável: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</w:r>
          </w:p>
        </w:tc>
      </w:tr>
    </w:tbl>
    <w:p>
      <w:pPr>
        <w:spacing w:before="160"/>
      </w:pPr>
      <w:r>
        <w:rPr>
          <w:b/>
          <w:color w:val="13233F"/>
        </w:rPr>
        <w:t>2. ITENS DA INSPEÇÃO TÉCNICA / QUALIDADE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5272"/>
        <w:gridCol w:w="1474"/>
        <w:gridCol w:w="2154"/>
      </w:tblGrid>
      <w:tr>
        <w:tc>
          <w:tcPr>
            <w:tcW w:type="dxa" w:w="216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Item verificado em campo / documental</w:t>
            </w:r>
          </w:p>
        </w:tc>
        <w:tc>
          <w:tcPr>
            <w:tcW w:type="dxa" w:w="216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Conforme? (S/N/NA)</w:t>
            </w:r>
          </w:p>
        </w:tc>
        <w:tc>
          <w:tcPr>
            <w:tcW w:type="dxa" w:w="216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5272"/>
          </w:tcPr>
          <w:p>
            <w:r>
              <w:t>Serviço executado confere com o previsto no escopo / QQP (item, quantidade e preço);</w:t>
            </w:r>
          </w:p>
        </w:tc>
        <w:tc>
          <w:tcPr>
            <w:tcW w:type="dxa" w:w="1474"/>
          </w:tcPr>
          <w:p/>
        </w:tc>
        <w:tc>
          <w:tcPr>
            <w:tcW w:type="dxa" w:w="2154"/>
          </w:tcPr>
          <w:p/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5272"/>
          </w:tcPr>
          <w:p>
            <w:r>
              <w:t>Conferência física por amostragem mínima de 10% das evidências realizada;</w:t>
            </w:r>
          </w:p>
        </w:tc>
        <w:tc>
          <w:tcPr>
            <w:tcW w:type="dxa" w:w="1474"/>
          </w:tcPr>
          <w:p/>
        </w:tc>
        <w:tc>
          <w:tcPr>
            <w:tcW w:type="dxa" w:w="2154"/>
          </w:tcPr>
          <w:p/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5272"/>
          </w:tcPr>
          <w:p>
            <w:r>
              <w:t>RDO / Diário de Obra / apontamentos apresentados e consistentes;</w:t>
            </w:r>
          </w:p>
        </w:tc>
        <w:tc>
          <w:tcPr>
            <w:tcW w:type="dxa" w:w="1474"/>
          </w:tcPr>
          <w:p/>
        </w:tc>
        <w:tc>
          <w:tcPr>
            <w:tcW w:type="dxa" w:w="2154"/>
          </w:tcPr>
          <w:p/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5272"/>
          </w:tcPr>
          <w:p>
            <w:r>
              <w:t>Evidências fotográficas / medições físicas anexadas;</w:t>
            </w:r>
          </w:p>
        </w:tc>
        <w:tc>
          <w:tcPr>
            <w:tcW w:type="dxa" w:w="1474"/>
          </w:tcPr>
          <w:p/>
        </w:tc>
        <w:tc>
          <w:tcPr>
            <w:tcW w:type="dxa" w:w="2154"/>
          </w:tcPr>
          <w:p/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5272"/>
          </w:tcPr>
          <w:p>
            <w:r>
              <w:t>Lista de empregados aderente ao HCT contratado / histograma aprovado;</w:t>
            </w:r>
          </w:p>
        </w:tc>
        <w:tc>
          <w:tcPr>
            <w:tcW w:type="dxa" w:w="1474"/>
          </w:tcPr>
          <w:p/>
        </w:tc>
        <w:tc>
          <w:tcPr>
            <w:tcW w:type="dxa" w:w="2154"/>
          </w:tcPr>
          <w:p/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5272"/>
          </w:tcPr>
          <w:p>
            <w:r>
              <w:t>Certificados, treinamentos e requisitos de SSMA atendidos;</w:t>
            </w:r>
          </w:p>
        </w:tc>
        <w:tc>
          <w:tcPr>
            <w:tcW w:type="dxa" w:w="1474"/>
          </w:tcPr>
          <w:p/>
        </w:tc>
        <w:tc>
          <w:tcPr>
            <w:tcW w:type="dxa" w:w="2154"/>
          </w:tcPr>
          <w:p/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5272"/>
          </w:tcPr>
          <w:p>
            <w:r>
              <w:t>Documentos do QEM apresentados conforme periodicidade;</w:t>
            </w:r>
          </w:p>
        </w:tc>
        <w:tc>
          <w:tcPr>
            <w:tcW w:type="dxa" w:w="1474"/>
          </w:tcPr>
          <w:p/>
        </w:tc>
        <w:tc>
          <w:tcPr>
            <w:tcW w:type="dxa" w:w="2154"/>
          </w:tcPr>
          <w:p/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5272"/>
          </w:tcPr>
          <w:p>
            <w:r>
              <w:t>Não conformidades registradas e tratadas (quando aplicável).</w:t>
            </w:r>
          </w:p>
        </w:tc>
        <w:tc>
          <w:tcPr>
            <w:tcW w:type="dxa" w:w="1474"/>
          </w:tcPr>
          <w:p/>
        </w:tc>
        <w:tc>
          <w:tcPr>
            <w:tcW w:type="dxa" w:w="2154"/>
          </w:tcPr>
          <w:p/>
        </w:tc>
      </w:tr>
    </w:tbl>
    <w:p>
      <w:pPr>
        <w:spacing w:before="160"/>
      </w:pPr>
      <w:r>
        <w:rPr>
          <w:b/>
          <w:color w:val="13233F"/>
        </w:rPr>
        <w:t>3. AMOSTRAGEM APLICADA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% de evidências amostradas</w:t>
            </w:r>
          </w:p>
        </w:tc>
        <w:tc>
          <w:tcPr>
            <w:tcW w:type="dxa" w:w="288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Itens/linhas amostrados</w:t>
            </w:r>
          </w:p>
        </w:tc>
        <w:tc>
          <w:tcPr>
            <w:tcW w:type="dxa" w:w="288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Justificativa de ampliação (se houver)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spacing w:before="160"/>
      </w:pPr>
      <w:r>
        <w:rPr>
          <w:b/>
          <w:color w:val="13233F"/>
        </w:rPr>
        <w:t>4. RESULTADO DA INSPEÇÃO TÉCNICA</w:t>
      </w:r>
    </w:p>
    <w:p>
      <w:r>
        <w:t>(   ) APROVADO tecnicamente — segue para aprovação do Gestor      (   ) REPROVADO — retorna ao Preposto para correção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Fiscal do Contrato (nome)</w:t>
            </w:r>
          </w:p>
        </w:tc>
        <w:tc>
          <w:tcPr>
            <w:tcW w:type="dxa" w:w="432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Data / Assinatura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b/>
        </w:rPr>
        <w:t xml:space="preserve">Observação: </w:t>
      </w:r>
      <w:r>
        <w:t>a inspeção técnica é etapa obrigatória e precede a aprovação gerencial do Gestor, conforme o fluxo de 4 etapas do POP-BO-GAF-CGC-004.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