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3233F"/>
          </w:tcPr>
          <w:p>
            <w:r>
              <w:rPr>
                <w:b/>
                <w:color w:val="FFFFFF"/>
                <w:sz w:val="22"/>
              </w:rPr>
              <w:t>Aura Minerals — Unidade Apoena (GAFI)</w:t>
            </w:r>
          </w:p>
          <w:p>
            <w:r>
              <w:rPr>
                <w:color w:val="FFFFFF"/>
                <w:sz w:val="18"/>
              </w:rPr>
              <w:t>Célula de Gestão de Contratos e Performance (CGC)</w:t>
            </w:r>
          </w:p>
        </w:tc>
        <w:tc>
          <w:tcPr>
            <w:tcW w:type="dxa" w:w="2835"/>
            <w:shd w:val="clear" w:color="auto" w:fill="F1602C"/>
          </w:tcPr>
          <w:p>
            <w:pPr>
              <w:jc w:val="center"/>
            </w:pPr>
            <w:r>
              <w:rPr>
                <w:b/>
                <w:color w:val="FFFFFF"/>
              </w:rPr>
              <w:t>FOR-CGC-SOD-001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Rev. 00</w:t>
            </w:r>
          </w:p>
        </w:tc>
      </w:tr>
    </w:tbl>
    <w:p/>
    <w:p>
      <w:pPr>
        <w:jc w:val="center"/>
      </w:pPr>
      <w:r>
        <w:rPr>
          <w:b/>
          <w:color w:val="13233F"/>
          <w:sz w:val="26"/>
        </w:rPr>
        <w:t>MATRIZ DE SEGREGAÇÃO DE FUNÇÕES — APROVAÇÃO DE BOLETIM DE MEDIÇÃO</w:t>
      </w:r>
    </w:p>
    <w:p>
      <w:r>
        <w:rPr>
          <w:b/>
          <w:color w:val="F1602C"/>
        </w:rPr>
        <w:t xml:space="preserve">Vínculo SOX: </w:t>
      </w:r>
      <w:r>
        <w:t>Controles-chave C.PTP-05b e C.PTP-06a. Evidência de remediação do gap de fluxo hierárquico/segregação na aprovação de medições.</w:t>
      </w:r>
    </w:p>
    <w:p>
      <w:pPr>
        <w:spacing w:before="120"/>
      </w:pPr>
      <w:r>
        <w:rPr>
          <w:b/>
          <w:color w:val="13233F"/>
        </w:rPr>
        <w:t>1. PRINCÍPIO</w:t>
      </w:r>
    </w:p>
    <w:p>
      <w:r>
        <w:t>Nenhum papel pode acumular duas etapas sequenciais da aprovação do BM. A aprovação segue ordem obrigatória e não invertível, com alçada complementar por valor. A matriz abaixo define quem EXECUTA (E), quem APROVA (A) e as incompatibilidades (✗) de cada atividade.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3233F"/>
          </w:tcPr>
          <w:p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1440"/>
            <w:shd w:val="clear" w:color="auto" w:fill="13233F"/>
          </w:tcPr>
          <w:p>
            <w:r>
              <w:rPr>
                <w:b/>
                <w:color w:val="FFFFFF"/>
                <w:sz w:val="18"/>
              </w:rPr>
              <w:t>Preposto</w:t>
            </w:r>
          </w:p>
        </w:tc>
        <w:tc>
          <w:tcPr>
            <w:tcW w:type="dxa" w:w="1440"/>
            <w:shd w:val="clear" w:color="auto" w:fill="13233F"/>
          </w:tcPr>
          <w:p>
            <w:r>
              <w:rPr>
                <w:b/>
                <w:color w:val="FFFFFF"/>
                <w:sz w:val="18"/>
              </w:rPr>
              <w:t>Fiscal</w:t>
            </w:r>
          </w:p>
        </w:tc>
        <w:tc>
          <w:tcPr>
            <w:tcW w:type="dxa" w:w="1440"/>
            <w:shd w:val="clear" w:color="auto" w:fill="13233F"/>
          </w:tcPr>
          <w:p>
            <w:r>
              <w:rPr>
                <w:b/>
                <w:color w:val="FFFFFF"/>
                <w:sz w:val="18"/>
              </w:rPr>
              <w:t>Gestor</w:t>
            </w:r>
          </w:p>
        </w:tc>
        <w:tc>
          <w:tcPr>
            <w:tcW w:type="dxa" w:w="1440"/>
            <w:shd w:val="clear" w:color="auto" w:fill="13233F"/>
          </w:tcPr>
          <w:p>
            <w:r>
              <w:rPr>
                <w:b/>
                <w:color w:val="FFFFFF"/>
                <w:sz w:val="18"/>
              </w:rPr>
              <w:t>Administr.</w:t>
            </w:r>
          </w:p>
        </w:tc>
        <w:tc>
          <w:tcPr>
            <w:tcW w:type="dxa" w:w="1440"/>
            <w:shd w:val="clear" w:color="auto" w:fill="13233F"/>
          </w:tcPr>
          <w:p>
            <w:r>
              <w:rPr>
                <w:b/>
                <w:color w:val="FFFFFF"/>
                <w:sz w:val="18"/>
              </w:rPr>
              <w:t>Alçada (Coord/Ger/Dir)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Elaborar BM e anexar evidências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Conferência técnica / inspeção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Análise gerencial e orçamentária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Validação administrativa final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Aprovação por valor do BM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</w:t>
            </w:r>
          </w:p>
        </w:tc>
      </w:tr>
    </w:tbl>
    <w:p>
      <w:pPr>
        <w:spacing w:before="160"/>
      </w:pPr>
      <w:r>
        <w:rPr>
          <w:b/>
          <w:color w:val="13233F"/>
        </w:rPr>
        <w:t>2. REGRAS DE INCOMPATIBILIDADE (controles SOX)</w:t>
      </w:r>
    </w:p>
    <w:p>
      <w:pPr>
        <w:pStyle w:val="ListBullet"/>
      </w:pPr>
      <w:r>
        <w:t>Um usuário cadastrado como "fornecedor" NÃO pode aprovar na função de Fiscal (vedado conflito de papel);</w:t>
      </w:r>
    </w:p>
    <w:p>
      <w:pPr>
        <w:pStyle w:val="ListBullet"/>
      </w:pPr>
      <w:r>
        <w:t>A mesma pessoa não pode executar duas etapas sequenciais do fluxo de aprovação;</w:t>
      </w:r>
    </w:p>
    <w:p>
      <w:pPr>
        <w:pStyle w:val="ListBullet"/>
      </w:pPr>
      <w:r>
        <w:t>O fluxo eletrônico no SIGEC (Preposto → Administrador → Fiscal → Gestor) não pode ser invertido ou suprimido;</w:t>
      </w:r>
    </w:p>
    <w:p>
      <w:pPr>
        <w:pStyle w:val="ListBullet"/>
      </w:pPr>
      <w:r>
        <w:t>A alçada por valor (Coordenador &lt; R$ 100 mil; Gerente R$ 100 mil–1 mi; Diretor &gt; R$ 1 mi) é obrigatória e complementar;</w:t>
      </w:r>
    </w:p>
    <w:p>
      <w:pPr>
        <w:pStyle w:val="ListBullet"/>
      </w:pPr>
      <w:r>
        <w:t>Multa contratual acima de R$ 50 mil exige aprovação formal da Diretoria.</w:t>
      </w:r>
    </w:p>
    <w:p>
      <w:pPr>
        <w:spacing w:before="160"/>
      </w:pPr>
      <w:r>
        <w:rPr>
          <w:b/>
          <w:color w:val="13233F"/>
        </w:rPr>
        <w:t>3. ATESTO PERIÓDICO DE SEGREGAÇÃO (evidência de monitoramento)</w:t>
      </w:r>
    </w:p>
    <w:p>
      <w:r>
        <w:t>A CGC revisa periodicamente os perfis de acesso e aprovação no SIGEC para assegurar a segregação. Registrar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Contrato / Usuário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Papel(is) no SIGEC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Conflito identificado? (S/N)</w:t>
            </w:r>
          </w:p>
        </w:tc>
        <w:tc>
          <w:tcPr>
            <w:tcW w:type="dxa" w:w="2160"/>
            <w:shd w:val="clear" w:color="auto" w:fill="13233F"/>
          </w:tcPr>
          <w:p>
            <w:r>
              <w:rPr>
                <w:b/>
                <w:color w:val="FFFFFF"/>
                <w:sz w:val="19"/>
              </w:rPr>
              <w:t>Ação / Data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