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236"/>
            <w:shd w:val="clear" w:color="auto" w:fill="13233F"/>
          </w:tcPr>
          <w:p>
            <w:r>
              <w:rPr>
                <w:b/>
                <w:color w:val="FFFFFF"/>
                <w:sz w:val="22"/>
              </w:rPr>
              <w:t>Aura Minerals — Unidade Apoena (GAFI)</w:t>
            </w:r>
          </w:p>
          <w:p>
            <w:r>
              <w:rPr>
                <w:color w:val="FFFFFF"/>
                <w:sz w:val="18"/>
              </w:rPr>
              <w:t>Célula de Gestão de Contratos e Performance (CGC)</w:t>
            </w:r>
          </w:p>
        </w:tc>
        <w:tc>
          <w:tcPr>
            <w:tcW w:type="dxa" w:w="2835"/>
            <w:shd w:val="clear" w:color="auto" w:fill="F1602C"/>
          </w:tcPr>
          <w:p>
            <w:pPr>
              <w:jc w:val="center"/>
            </w:pPr>
            <w:r>
              <w:rPr>
                <w:b/>
                <w:color w:val="FFFFFF"/>
              </w:rPr>
              <w:t>FOR-CGC-OC-001</w:t>
            </w:r>
          </w:p>
          <w:p>
            <w:pPr>
              <w:jc w:val="center"/>
            </w:pPr>
            <w:r>
              <w:rPr>
                <w:color w:val="FFFFFF"/>
                <w:sz w:val="18"/>
              </w:rPr>
              <w:t>Rev. 00</w:t>
            </w:r>
          </w:p>
        </w:tc>
      </w:tr>
    </w:tbl>
    <w:p/>
    <w:p>
      <w:pPr>
        <w:jc w:val="center"/>
      </w:pPr>
      <w:r>
        <w:rPr>
          <w:b/>
          <w:color w:val="13233F"/>
          <w:sz w:val="26"/>
        </w:rPr>
        <w:t>CHECKLIST DE REVISÃO DE ORDEM DE COMPRA</w:t>
      </w:r>
    </w:p>
    <w:p>
      <w:r>
        <w:rPr>
          <w:b/>
          <w:color w:val="F1602C"/>
        </w:rPr>
        <w:t xml:space="preserve">Vínculo SOX: </w:t>
      </w:r>
      <w:r>
        <w:t>Controle-chave C.PTP-04 (Criação de Pedido de Compra). Evidência de remediação do gap de revisão estruturada das informações da OC.</w:t>
      </w:r>
    </w:p>
    <w:p>
      <w:pPr>
        <w:spacing w:before="120"/>
      </w:pPr>
      <w:r>
        <w:rPr>
          <w:b/>
          <w:color w:val="13233F"/>
        </w:rPr>
        <w:t>1. IDENTIFICAÇÃO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Nº da OC: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rPr>
                <w:b/>
              </w:rPr>
              <w:t>Contrato/Fornecedor: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Requisição (RC) vinculada: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rPr>
                <w:b/>
              </w:rPr>
              <w:t>Valor da OC: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Centro de custo: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rPr>
                <w:b/>
              </w:rPr>
              <w:t>Data da revisão: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before="160"/>
      </w:pPr>
      <w:r>
        <w:rPr>
          <w:b/>
          <w:color w:val="13233F"/>
        </w:rPr>
        <w:t>2. ITENS DE VERIFICAÇÃO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4"/>
        <w:gridCol w:w="5386"/>
        <w:gridCol w:w="1474"/>
        <w:gridCol w:w="2041"/>
      </w:tblGrid>
      <w:tr>
        <w:tc>
          <w:tcPr>
            <w:tcW w:type="dxa" w:w="2160"/>
            <w:shd w:val="clear" w:color="auto" w:fill="13233F"/>
          </w:tcPr>
          <w:p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160"/>
            <w:shd w:val="clear" w:color="auto" w:fill="13233F"/>
          </w:tcPr>
          <w:p>
            <w:r>
              <w:rPr>
                <w:b/>
                <w:color w:val="FFFFFF"/>
                <w:sz w:val="19"/>
              </w:rPr>
              <w:t>Item verificado</w:t>
            </w:r>
          </w:p>
        </w:tc>
        <w:tc>
          <w:tcPr>
            <w:tcW w:type="dxa" w:w="2160"/>
            <w:shd w:val="clear" w:color="auto" w:fill="13233F"/>
          </w:tcPr>
          <w:p>
            <w:r>
              <w:rPr>
                <w:b/>
                <w:color w:val="FFFFFF"/>
                <w:sz w:val="19"/>
              </w:rPr>
              <w:t>Conforme? (S/N/NA)</w:t>
            </w:r>
          </w:p>
        </w:tc>
        <w:tc>
          <w:tcPr>
            <w:tcW w:type="dxa" w:w="2160"/>
            <w:shd w:val="clear" w:color="auto" w:fill="13233F"/>
          </w:tcPr>
          <w:p>
            <w:r>
              <w:rPr>
                <w:b/>
                <w:color w:val="FFFFFF"/>
                <w:sz w:val="19"/>
              </w:rPr>
              <w:t>Observação</w:t>
            </w:r>
          </w:p>
        </w:tc>
      </w:tr>
      <w:tr>
        <w:tc>
          <w:tcPr>
            <w:tcW w:type="dxa" w:w="454"/>
          </w:tcPr>
          <w:p>
            <w:r>
              <w:t>1</w:t>
            </w:r>
          </w:p>
        </w:tc>
        <w:tc>
          <w:tcPr>
            <w:tcW w:type="dxa" w:w="5386"/>
          </w:tcPr>
          <w:p>
            <w:r>
              <w:t>OC vinculada a uma RC aprovada dentro da alçada correspondente ao valor;</w:t>
            </w:r>
          </w:p>
        </w:tc>
        <w:tc>
          <w:tcPr>
            <w:tcW w:type="dxa" w:w="1474"/>
          </w:tcPr>
          <w:p/>
        </w:tc>
        <w:tc>
          <w:tcPr>
            <w:tcW w:type="dxa" w:w="2041"/>
          </w:tcPr>
          <w:p/>
        </w:tc>
      </w:tr>
      <w:tr>
        <w:tc>
          <w:tcPr>
            <w:tcW w:type="dxa" w:w="454"/>
          </w:tcPr>
          <w:p>
            <w:r>
              <w:t>2</w:t>
            </w:r>
          </w:p>
        </w:tc>
        <w:tc>
          <w:tcPr>
            <w:tcW w:type="dxa" w:w="5386"/>
          </w:tcPr>
          <w:p>
            <w:r>
              <w:t>Fornecedor ativo e regular no cadastro mestre (IFS);</w:t>
            </w:r>
          </w:p>
        </w:tc>
        <w:tc>
          <w:tcPr>
            <w:tcW w:type="dxa" w:w="1474"/>
          </w:tcPr>
          <w:p/>
        </w:tc>
        <w:tc>
          <w:tcPr>
            <w:tcW w:type="dxa" w:w="2041"/>
          </w:tcPr>
          <w:p/>
        </w:tc>
      </w:tr>
      <w:tr>
        <w:tc>
          <w:tcPr>
            <w:tcW w:type="dxa" w:w="454"/>
          </w:tcPr>
          <w:p>
            <w:r>
              <w:t>3</w:t>
            </w:r>
          </w:p>
        </w:tc>
        <w:tc>
          <w:tcPr>
            <w:tcW w:type="dxa" w:w="5386"/>
          </w:tcPr>
          <w:p>
            <w:r>
              <w:t>Valores, quantidades e itens aderentes ao QQP / proposta selecionada;</w:t>
            </w:r>
          </w:p>
        </w:tc>
        <w:tc>
          <w:tcPr>
            <w:tcW w:type="dxa" w:w="1474"/>
          </w:tcPr>
          <w:p/>
        </w:tc>
        <w:tc>
          <w:tcPr>
            <w:tcW w:type="dxa" w:w="2041"/>
          </w:tcPr>
          <w:p/>
        </w:tc>
      </w:tr>
      <w:tr>
        <w:tc>
          <w:tcPr>
            <w:tcW w:type="dxa" w:w="454"/>
          </w:tcPr>
          <w:p>
            <w:r>
              <w:t>4</w:t>
            </w:r>
          </w:p>
        </w:tc>
        <w:tc>
          <w:tcPr>
            <w:tcW w:type="dxa" w:w="5386"/>
          </w:tcPr>
          <w:p>
            <w:r>
              <w:t>Roteiro de aprovação correto e com segregação de funções (comprador não aprova a própria OC);</w:t>
            </w:r>
          </w:p>
        </w:tc>
        <w:tc>
          <w:tcPr>
            <w:tcW w:type="dxa" w:w="1474"/>
          </w:tcPr>
          <w:p/>
        </w:tc>
        <w:tc>
          <w:tcPr>
            <w:tcW w:type="dxa" w:w="2041"/>
          </w:tcPr>
          <w:p/>
        </w:tc>
      </w:tr>
      <w:tr>
        <w:tc>
          <w:tcPr>
            <w:tcW w:type="dxa" w:w="454"/>
          </w:tcPr>
          <w:p>
            <w:r>
              <w:t>5</w:t>
            </w:r>
          </w:p>
        </w:tc>
        <w:tc>
          <w:tcPr>
            <w:tcW w:type="dxa" w:w="5386"/>
          </w:tcPr>
          <w:p>
            <w:r>
              <w:t>Documentos de suporte anexados (proposta, mapa comparativo, memorial descritivo, quando aplicável);</w:t>
            </w:r>
          </w:p>
        </w:tc>
        <w:tc>
          <w:tcPr>
            <w:tcW w:type="dxa" w:w="1474"/>
          </w:tcPr>
          <w:p/>
        </w:tc>
        <w:tc>
          <w:tcPr>
            <w:tcW w:type="dxa" w:w="2041"/>
          </w:tcPr>
          <w:p/>
        </w:tc>
      </w:tr>
      <w:tr>
        <w:tc>
          <w:tcPr>
            <w:tcW w:type="dxa" w:w="454"/>
          </w:tcPr>
          <w:p>
            <w:r>
              <w:t>6</w:t>
            </w:r>
          </w:p>
        </w:tc>
        <w:tc>
          <w:tcPr>
            <w:tcW w:type="dxa" w:w="5386"/>
          </w:tcPr>
          <w:p>
            <w:r>
              <w:t>Termos comerciais e tributários (impostos/retenções) corretos;</w:t>
            </w:r>
          </w:p>
        </w:tc>
        <w:tc>
          <w:tcPr>
            <w:tcW w:type="dxa" w:w="1474"/>
          </w:tcPr>
          <w:p/>
        </w:tc>
        <w:tc>
          <w:tcPr>
            <w:tcW w:type="dxa" w:w="2041"/>
          </w:tcPr>
          <w:p/>
        </w:tc>
      </w:tr>
      <w:tr>
        <w:tc>
          <w:tcPr>
            <w:tcW w:type="dxa" w:w="454"/>
          </w:tcPr>
          <w:p>
            <w:r>
              <w:t>7</w:t>
            </w:r>
          </w:p>
        </w:tc>
        <w:tc>
          <w:tcPr>
            <w:tcW w:type="dxa" w:w="5386"/>
          </w:tcPr>
          <w:p>
            <w:r>
              <w:t>Condições de pagamento e prazos conforme contrato;</w:t>
            </w:r>
          </w:p>
        </w:tc>
        <w:tc>
          <w:tcPr>
            <w:tcW w:type="dxa" w:w="1474"/>
          </w:tcPr>
          <w:p/>
        </w:tc>
        <w:tc>
          <w:tcPr>
            <w:tcW w:type="dxa" w:w="2041"/>
          </w:tcPr>
          <w:p/>
        </w:tc>
      </w:tr>
      <w:tr>
        <w:tc>
          <w:tcPr>
            <w:tcW w:type="dxa" w:w="454"/>
          </w:tcPr>
          <w:p>
            <w:r>
              <w:t>8</w:t>
            </w:r>
          </w:p>
        </w:tc>
        <w:tc>
          <w:tcPr>
            <w:tcW w:type="dxa" w:w="5386"/>
          </w:tcPr>
          <w:p>
            <w:r>
              <w:t>Para fornecimento sem pedido prévio: carta de regularização via CAP aprovada (Diretor de Operações).</w:t>
            </w:r>
          </w:p>
        </w:tc>
        <w:tc>
          <w:tcPr>
            <w:tcW w:type="dxa" w:w="1474"/>
          </w:tcPr>
          <w:p/>
        </w:tc>
        <w:tc>
          <w:tcPr>
            <w:tcW w:type="dxa" w:w="2041"/>
          </w:tcPr>
          <w:p/>
        </w:tc>
      </w:tr>
    </w:tbl>
    <w:p>
      <w:pPr>
        <w:spacing w:before="160"/>
      </w:pPr>
      <w:r>
        <w:rPr>
          <w:b/>
          <w:color w:val="13233F"/>
        </w:rPr>
        <w:t>3. TRATAMENTO DE INCONSISTÊNCIAS (SLA)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3233F"/>
          </w:tcPr>
          <w:p>
            <w:r>
              <w:rPr>
                <w:b/>
                <w:color w:val="FFFFFF"/>
                <w:sz w:val="19"/>
              </w:rPr>
              <w:t>Item incorreto</w:t>
            </w:r>
          </w:p>
        </w:tc>
        <w:tc>
          <w:tcPr>
            <w:tcW w:type="dxa" w:w="2160"/>
            <w:shd w:val="clear" w:color="auto" w:fill="13233F"/>
          </w:tcPr>
          <w:p>
            <w:r>
              <w:rPr>
                <w:b/>
                <w:color w:val="FFFFFF"/>
                <w:sz w:val="19"/>
              </w:rPr>
              <w:t>Ajuste necessário</w:t>
            </w:r>
          </w:p>
        </w:tc>
        <w:tc>
          <w:tcPr>
            <w:tcW w:type="dxa" w:w="2160"/>
            <w:shd w:val="clear" w:color="auto" w:fill="13233F"/>
          </w:tcPr>
          <w:p>
            <w:r>
              <w:rPr>
                <w:b/>
                <w:color w:val="FFFFFF"/>
                <w:sz w:val="19"/>
              </w:rPr>
              <w:t>Prazo (SLA)</w:t>
            </w:r>
          </w:p>
        </w:tc>
        <w:tc>
          <w:tcPr>
            <w:tcW w:type="dxa" w:w="2160"/>
            <w:shd w:val="clear" w:color="auto" w:fill="13233F"/>
          </w:tcPr>
          <w:p>
            <w:r>
              <w:rPr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spacing w:before="160"/>
      </w:pPr>
      <w:r>
        <w:rPr>
          <w:b/>
          <w:color w:val="13233F"/>
        </w:rPr>
        <w:t>4. CONCLUSÃO DA REVISÃO</w:t>
      </w:r>
    </w:p>
    <w:p>
      <w:r>
        <w:t>(   ) OC liberada para continuidade     (   ) OC devolvida para correção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3233F"/>
          </w:tcPr>
          <w:p>
            <w:r>
              <w:rPr>
                <w:b/>
                <w:color w:val="FFFFFF"/>
                <w:sz w:val="19"/>
              </w:rPr>
              <w:t>Revisado por (CGC)</w:t>
            </w:r>
          </w:p>
        </w:tc>
        <w:tc>
          <w:tcPr>
            <w:tcW w:type="dxa" w:w="4320"/>
            <w:shd w:val="clear" w:color="auto" w:fill="13233F"/>
          </w:tcPr>
          <w:p>
            <w:r>
              <w:rPr>
                <w:b/>
                <w:color w:val="FFFFFF"/>
                <w:sz w:val="19"/>
              </w:rPr>
              <w:t>Data / Assinatura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