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3233F"/>
          </w:tcPr>
          <w:p>
            <w:r>
              <w:rPr>
                <w:b/>
                <w:color w:val="FFFFFF"/>
                <w:sz w:val="22"/>
              </w:rPr>
              <w:t>Aura Minerals — Unidade Apoena (GAFI)</w:t>
            </w:r>
          </w:p>
          <w:p>
            <w:r>
              <w:rPr>
                <w:color w:val="FFFFFF"/>
                <w:sz w:val="18"/>
              </w:rPr>
              <w:t>Célula de Gestão de Contratos e Performance (CGC)</w:t>
            </w:r>
          </w:p>
        </w:tc>
        <w:tc>
          <w:tcPr>
            <w:tcW w:type="dxa" w:w="2835"/>
            <w:shd w:val="clear" w:color="auto" w:fill="F160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POP-BO-GAF-CGC-004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Rev. 00</w:t>
            </w:r>
          </w:p>
        </w:tc>
      </w:tr>
    </w:tbl>
    <w:p/>
    <w:p>
      <w:pPr>
        <w:jc w:val="center"/>
      </w:pPr>
      <w:r>
        <w:rPr>
          <w:b/>
          <w:color w:val="13233F"/>
          <w:sz w:val="26"/>
        </w:rPr>
        <w:t>PROCEDIMENTO OPERACIONAL PADRÃO</w:t>
      </w:r>
    </w:p>
    <w:p>
      <w:pPr>
        <w:jc w:val="center"/>
      </w:pPr>
      <w:r>
        <w:rPr>
          <w:b/>
          <w:sz w:val="24"/>
        </w:rPr>
        <w:t>Processo de Medição Contratual — Critérios de Aprovação e Recusa de Boletim de Medição (BM)</w:t>
      </w:r>
    </w:p>
    <w:p>
      <w:pPr>
        <w:spacing w:before="160"/>
      </w:pPr>
      <w:r>
        <w:rPr>
          <w:b/>
          <w:color w:val="F1602C"/>
        </w:rPr>
        <w:t xml:space="preserve">Vínculo SOX: </w:t>
      </w:r>
      <w:r>
        <w:t>Controles-chave C.PTP-05b (Gestão de Contratos — monitoramento) e C.PTP-06a (Recebimento de Serviços — folha de medição). Este POP constitui evidência de remediação dos gaps "critérios de aprovação/recusa não padronizados", "ausência de inspeção de qualidade documentada" e "fluxo hierárquico de aprovação não padronizado".</w:t>
      </w:r>
    </w:p>
    <w:p>
      <w:pPr>
        <w:spacing w:before="200" w:after="80"/>
      </w:pPr>
      <w:r>
        <w:rPr>
          <w:b/>
          <w:color w:val="13233F"/>
          <w:sz w:val="28"/>
        </w:rPr>
        <w:t>1. OBJETIVO</w:t>
      </w:r>
    </w:p>
    <w:p>
      <w:pPr>
        <w:spacing w:after="80"/>
      </w:pPr>
      <w:r>
        <w:rPr>
          <w:b w:val="0"/>
          <w:i w:val="0"/>
          <w:sz w:val="21"/>
        </w:rPr>
        <w:t>Estabelecer critérios objetivos e padronizados para a análise, aprovação ou recusa de Boletins de Medição (BM) de contratos de prestação de serviços, assegurando que somente serviços efetivamente executados, devidamente evidenciados e em conformidade com o contrato sejam aprovados para faturamento e pagamento, com segregação de funções e trilha de auditoria.</w:t>
      </w:r>
    </w:p>
    <w:p>
      <w:pPr>
        <w:spacing w:before="200" w:after="80"/>
      </w:pPr>
      <w:r>
        <w:rPr>
          <w:b/>
          <w:color w:val="13233F"/>
          <w:sz w:val="28"/>
        </w:rPr>
        <w:t>2. CAMPO DE APLICAÇÃO</w:t>
      </w:r>
    </w:p>
    <w:p>
      <w:pPr>
        <w:spacing w:after="80"/>
      </w:pPr>
      <w:r>
        <w:rPr>
          <w:b w:val="0"/>
          <w:i w:val="0"/>
          <w:sz w:val="21"/>
        </w:rPr>
        <w:t>Aplica-se a todos os contratos sob gestão da CGC cujas medições são processadas no SIGEC WEB, abrangendo o Preposto da Contratada, o Fiscal, o Gestor e o Administrador do Contrato, bem como as alçadas de aprovação por valor.</w:t>
      </w:r>
    </w:p>
    <w:p>
      <w:pPr>
        <w:spacing w:before="200" w:after="80"/>
      </w:pPr>
      <w:r>
        <w:rPr>
          <w:b/>
          <w:color w:val="13233F"/>
          <w:sz w:val="28"/>
        </w:rPr>
        <w:t>3. DEFINIÇÕES</w:t>
      </w:r>
    </w:p>
    <w:p>
      <w:pPr>
        <w:pStyle w:val="ListBullet"/>
        <w:spacing w:after="40"/>
      </w:pPr>
      <w:r>
        <w:rPr>
          <w:b/>
        </w:rPr>
        <w:t xml:space="preserve">BM: </w:t>
      </w:r>
      <w:r>
        <w:t>Boletim de Medição.</w:t>
      </w:r>
    </w:p>
    <w:p>
      <w:pPr>
        <w:pStyle w:val="ListBullet"/>
        <w:spacing w:after="40"/>
      </w:pPr>
      <w:r>
        <w:rPr>
          <w:b/>
        </w:rPr>
        <w:t xml:space="preserve">BM1: </w:t>
      </w:r>
      <w:r>
        <w:t>Medição de Prestação de Serviços (com evidências da execução).</w:t>
      </w:r>
    </w:p>
    <w:p>
      <w:pPr>
        <w:pStyle w:val="ListBullet"/>
        <w:spacing w:after="40"/>
      </w:pPr>
      <w:r>
        <w:rPr>
          <w:b/>
        </w:rPr>
        <w:t xml:space="preserve">BM2: </w:t>
      </w:r>
      <w:r>
        <w:t>Documentação Mensal (comprovação de recolhimentos e impostos, conforme COA).</w:t>
      </w:r>
    </w:p>
    <w:p>
      <w:pPr>
        <w:pStyle w:val="ListBullet"/>
        <w:spacing w:after="40"/>
      </w:pPr>
      <w:r>
        <w:rPr>
          <w:b/>
        </w:rPr>
        <w:t xml:space="preserve">COA: </w:t>
      </w:r>
      <w:r>
        <w:t>Matriz de documentos obrigatórios da contratada, validada pela Equipe Info (prazo de 72h úteis).</w:t>
      </w:r>
    </w:p>
    <w:p>
      <w:pPr>
        <w:pStyle w:val="ListBullet"/>
        <w:spacing w:after="40"/>
      </w:pPr>
      <w:r>
        <w:rPr>
          <w:b/>
        </w:rPr>
        <w:t xml:space="preserve">QEM: </w:t>
      </w:r>
      <w:r>
        <w:t>Quadro de Evidências Mínimas — documentos exigidos e periodicidade.</w:t>
      </w:r>
    </w:p>
    <w:p>
      <w:pPr>
        <w:pStyle w:val="ListBullet"/>
        <w:spacing w:after="40"/>
      </w:pPr>
      <w:r>
        <w:rPr>
          <w:b/>
        </w:rPr>
        <w:t xml:space="preserve">QQP: </w:t>
      </w:r>
      <w:r>
        <w:t>Quadro de Quantidades e Preços.</w:t>
      </w:r>
    </w:p>
    <w:p>
      <w:pPr>
        <w:pStyle w:val="ListBullet"/>
        <w:spacing w:after="40"/>
      </w:pPr>
      <w:r>
        <w:rPr>
          <w:b/>
        </w:rPr>
        <w:t xml:space="preserve">GFC: </w:t>
      </w:r>
      <w:r>
        <w:t>Garantia de Fiel Cumprimento.</w:t>
      </w:r>
    </w:p>
    <w:p>
      <w:pPr>
        <w:pStyle w:val="ListBullet"/>
        <w:spacing w:after="40"/>
      </w:pPr>
      <w:r>
        <w:rPr>
          <w:b/>
        </w:rPr>
        <w:t xml:space="preserve">SIGEC: </w:t>
      </w:r>
      <w:r>
        <w:t>Sistema corporativo de gestão de contratos e medições.</w:t>
      </w:r>
    </w:p>
    <w:p>
      <w:pPr>
        <w:spacing w:before="200" w:after="80"/>
      </w:pPr>
      <w:r>
        <w:rPr>
          <w:b/>
          <w:color w:val="13233F"/>
          <w:sz w:val="28"/>
        </w:rPr>
        <w:t>4. CRITÉRIOS OBJETIVOS DE APROVAÇÃO DO BM</w:t>
      </w:r>
    </w:p>
    <w:p>
      <w:pPr>
        <w:spacing w:after="80"/>
      </w:pPr>
      <w:r>
        <w:rPr>
          <w:b w:val="0"/>
          <w:i w:val="0"/>
          <w:sz w:val="21"/>
        </w:rPr>
        <w:t>A aprovação do BM somente é válida quando TODOS os critérios abaixo são atendidos e registrados no SIGEC:</w:t>
      </w:r>
    </w:p>
    <w:p>
      <w:pPr>
        <w:pStyle w:val="ListBullet"/>
        <w:spacing w:after="40"/>
      </w:pPr>
      <w:r>
        <w:t>Medição aderente ao contrato (itens, quantidades e preços conforme QQP vigente);</w:t>
      </w:r>
    </w:p>
    <w:p>
      <w:pPr>
        <w:pStyle w:val="ListBullet"/>
        <w:spacing w:after="40"/>
      </w:pPr>
      <w:r>
        <w:t>BM1 com evidências da execução anexadas e BM2 (Documentação Mensal) criado;</w:t>
      </w:r>
    </w:p>
    <w:p>
      <w:pPr>
        <w:pStyle w:val="ListBullet"/>
        <w:spacing w:after="40"/>
      </w:pPr>
      <w:r>
        <w:t>Documentações trabalhista e tributária apresentadas e validadas (COA) pelas áreas responsáveis;</w:t>
      </w:r>
    </w:p>
    <w:p>
      <w:pPr>
        <w:pStyle w:val="ListBullet"/>
        <w:spacing w:after="40"/>
      </w:pPr>
      <w:r>
        <w:t>Retenções pertinentes realizadas e garantias (GFC) em vigor;</w:t>
      </w:r>
    </w:p>
    <w:p>
      <w:pPr>
        <w:pStyle w:val="ListBullet"/>
        <w:spacing w:after="40"/>
      </w:pPr>
      <w:r>
        <w:t>Evidências em conformidade com o QQP/QEM, suportando o valor medido por amostragem mínima de 10% (ampliável conforme a complexidade);</w:t>
      </w:r>
    </w:p>
    <w:p>
      <w:pPr>
        <w:pStyle w:val="ListBullet"/>
        <w:spacing w:after="40"/>
      </w:pPr>
      <w:r>
        <w:t>Demais pontos específicos previstos no contrato avaliado.</w:t>
      </w:r>
    </w:p>
    <w:p>
      <w:pPr>
        <w:spacing w:before="200" w:after="80"/>
      </w:pPr>
      <w:r>
        <w:rPr>
          <w:b/>
          <w:color w:val="13233F"/>
          <w:sz w:val="28"/>
        </w:rPr>
        <w:t>5. CRITÉRIOS DE RECUSA DO BM</w:t>
      </w:r>
    </w:p>
    <w:p>
      <w:pPr>
        <w:spacing w:after="80"/>
      </w:pPr>
      <w:r>
        <w:rPr>
          <w:b w:val="0"/>
          <w:i w:val="0"/>
          <w:sz w:val="21"/>
        </w:rPr>
        <w:t>O BM deve ser recusado, com registro do motivo no SIGEC, em qualquer das hipóteses:</w:t>
      </w:r>
    </w:p>
    <w:p>
      <w:pPr>
        <w:pStyle w:val="ListBullet"/>
        <w:spacing w:after="40"/>
      </w:pPr>
      <w:r>
        <w:t>Medição em desacordo com o contrato (item/quantidade/preço divergente do QQP);</w:t>
      </w:r>
    </w:p>
    <w:p>
      <w:pPr>
        <w:pStyle w:val="ListBullet"/>
        <w:spacing w:after="40"/>
      </w:pPr>
      <w:r>
        <w:t>Ausência ou insuficiência de evidências da execução (BM1);</w:t>
      </w:r>
    </w:p>
    <w:p>
      <w:pPr>
        <w:pStyle w:val="ListBullet"/>
        <w:spacing w:after="40"/>
      </w:pPr>
      <w:r>
        <w:t>BM2 / Documentação Mensal não criado ou COA com pendência;</w:t>
      </w:r>
    </w:p>
    <w:p>
      <w:pPr>
        <w:pStyle w:val="ListBullet"/>
        <w:spacing w:after="40"/>
      </w:pPr>
      <w:r>
        <w:t>Ausência de qualquer documento do QEM (impede o início da análise do BM);</w:t>
      </w:r>
    </w:p>
    <w:p>
      <w:pPr>
        <w:pStyle w:val="ListBullet"/>
        <w:spacing w:after="40"/>
      </w:pPr>
      <w:r>
        <w:t>Retenção não realizada ou garantia (GFC) vencida;</w:t>
      </w:r>
    </w:p>
    <w:p>
      <w:pPr>
        <w:pStyle w:val="ListBullet"/>
        <w:spacing w:after="40"/>
      </w:pPr>
      <w:r>
        <w:t>Divergência de valores ou quantidades não justificada.</w:t>
      </w:r>
    </w:p>
    <w:p>
      <w:r>
        <w:rPr>
          <w:b/>
          <w:color w:val="F1602C"/>
        </w:rPr>
        <w:t xml:space="preserve">Regra de bloqueio: </w:t>
      </w:r>
      <w:r>
        <w:t>em caso de divergência, o processo permanece PARADO até a regularização da pendência. A medição deve ocorrer exclusivamente pelo SIGEC WEB, garantindo o abatimento de saldo e a rastreabilidade.</w:t>
      </w:r>
    </w:p>
    <w:p>
      <w:pPr>
        <w:spacing w:before="200" w:after="80"/>
      </w:pPr>
      <w:r>
        <w:rPr>
          <w:b/>
          <w:color w:val="13233F"/>
          <w:sz w:val="28"/>
        </w:rPr>
        <w:t>6. FLUXO HIERÁRQUICO DE APROVAÇÃO (SEQUÊNCIA OBRIGATÓRIA E NÃO INVERTÍVEL)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Validação realizada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>Preposto da Contratada</w:t>
            </w:r>
          </w:p>
        </w:tc>
        <w:tc>
          <w:tcPr>
            <w:tcW w:type="dxa" w:w="2880"/>
          </w:tcPr>
          <w:p>
            <w:r>
              <w:t>Elabora o BM e anexa todos os documentos comprobatórios (RDO, medições físicas, evidências fotográficas, listas de empregados, certificados).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t>Fiscal do Contrato</w:t>
            </w:r>
          </w:p>
        </w:tc>
        <w:tc>
          <w:tcPr>
            <w:tcW w:type="dxa" w:w="2880"/>
          </w:tcPr>
          <w:p>
            <w:r>
              <w:t>Conferência técnica da execução; validação quantitativa e qualitativa; registro da inspeção (vide item 7).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Gestor do Contrato</w:t>
            </w:r>
          </w:p>
        </w:tc>
        <w:tc>
          <w:tcPr>
            <w:tcW w:type="dxa" w:w="2880"/>
          </w:tcPr>
          <w:p>
            <w:r>
              <w:t>Análise gerencial, orçamentária e de escopo; avaliação de impactos financeiros e riscos.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>Administrador do Contrato</w:t>
            </w:r>
          </w:p>
        </w:tc>
        <w:tc>
          <w:tcPr>
            <w:tcW w:type="dxa" w:w="2880"/>
          </w:tcPr>
          <w:p>
            <w:r>
              <w:t>Validação administrativa e documental final; conformidade com procedimentos internos e liberação para o fluxo financeiro.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p>
      <w:r>
        <w:rPr>
          <w:b/>
        </w:rPr>
        <w:t xml:space="preserve">Fluxo eletrônico de assinatura no SIGEC: </w:t>
      </w:r>
      <w:r>
        <w:t>Preposto → Administrador → Fiscal → Gestor. Vedada a conclusão sem a anuência expressa de todos.</w:t>
      </w:r>
    </w:p>
    <w:p>
      <w:pPr>
        <w:spacing w:before="200" w:after="80"/>
      </w:pPr>
      <w:r>
        <w:rPr>
          <w:b/>
          <w:color w:val="13233F"/>
          <w:sz w:val="24"/>
        </w:rPr>
        <w:t>6.1 Alçada complementar por valor do 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</w:rPr>
              <w:t>Valor total do BM</w:t>
            </w:r>
          </w:p>
        </w:tc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</w:rPr>
              <w:t>Aprovação complementar exigida</w:t>
            </w:r>
          </w:p>
        </w:tc>
      </w:tr>
      <w:tr>
        <w:tc>
          <w:tcPr>
            <w:tcW w:type="dxa" w:w="4320"/>
          </w:tcPr>
          <w:p>
            <w:r>
              <w:t>Inferior a R$ 100.000,00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Coordenador</w:t>
            </w:r>
          </w:p>
        </w:tc>
      </w:tr>
      <w:tr>
        <w:tc>
          <w:tcPr>
            <w:tcW w:type="dxa" w:w="4320"/>
          </w:tcPr>
          <w:p>
            <w:r>
              <w:t>R$ 100.000,00 a R$ 1.000.000,00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Gerente</w:t>
            </w:r>
          </w:p>
        </w:tc>
      </w:tr>
      <w:tr>
        <w:tc>
          <w:tcPr>
            <w:tcW w:type="dxa" w:w="4320"/>
          </w:tcPr>
          <w:p>
            <w:r>
              <w:t>Superior a R$ 1.000.000,00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Diretor</w:t>
            </w:r>
          </w:p>
        </w:tc>
      </w:tr>
    </w:tbl>
    <w:p>
      <w:pPr>
        <w:spacing w:after="120"/>
      </w:pPr>
      <w:r>
        <w:rPr>
          <w:b w:val="0"/>
          <w:i/>
          <w:sz w:val="21"/>
        </w:rPr>
        <w:t>A ausência de qualquer aprovação obrigatória ou da alçada correspondente impede o pagamento e a contabilização.</w:t>
      </w:r>
    </w:p>
    <w:p>
      <w:pPr>
        <w:spacing w:before="200" w:after="80"/>
      </w:pPr>
      <w:r>
        <w:rPr>
          <w:b/>
          <w:color w:val="13233F"/>
          <w:sz w:val="28"/>
        </w:rPr>
        <w:t>7. INSPEÇÃO TÉCNICA E EVIDÊNCIA DE QUALIDADE (remediação C.PTP-06a)</w:t>
      </w:r>
    </w:p>
    <w:p>
      <w:pPr>
        <w:spacing w:after="80"/>
      </w:pPr>
      <w:r>
        <w:rPr>
          <w:b w:val="0"/>
          <w:i w:val="0"/>
          <w:sz w:val="21"/>
        </w:rPr>
        <w:t>Além da análise contratual, o Fiscal do Contrato deve registrar formalmente a inspeção técnica/qualidade da medição, que comprova a verificação física da execução. O registro é obrigatório e arquivado no SIGEC como evidência.</w:t>
      </w:r>
    </w:p>
    <w:p>
      <w:pPr>
        <w:pStyle w:val="ListBullet"/>
        <w:spacing w:after="40"/>
      </w:pPr>
      <w:r>
        <w:t>Conferência por amostragem mínima de 10% das evidências (ampliável conforme complexidade);</w:t>
      </w:r>
    </w:p>
    <w:p>
      <w:pPr>
        <w:pStyle w:val="ListBullet"/>
        <w:spacing w:after="40"/>
      </w:pPr>
      <w:r>
        <w:t>Registro em checklist/relatório técnico identificando responsável e data;</w:t>
      </w:r>
    </w:p>
    <w:p>
      <w:pPr>
        <w:pStyle w:val="ListBullet"/>
        <w:spacing w:after="40"/>
      </w:pPr>
      <w:r>
        <w:t>Confronto entre o executado e o previsto no escopo/QQP;</w:t>
      </w:r>
    </w:p>
    <w:p>
      <w:pPr>
        <w:pStyle w:val="ListBullet"/>
        <w:spacing w:after="40"/>
      </w:pPr>
      <w:r>
        <w:t>Apontamento de não conformidades e tratativas até a regularização.</w:t>
      </w:r>
    </w:p>
    <w:p>
      <w:pPr>
        <w:spacing w:before="200" w:after="80"/>
      </w:pPr>
      <w:r>
        <w:rPr>
          <w:b/>
          <w:color w:val="13233F"/>
          <w:sz w:val="28"/>
        </w:rPr>
        <w:t>8. RESPONSABILIDADES</w:t>
      </w:r>
    </w:p>
    <w:p>
      <w:pPr>
        <w:pStyle w:val="ListBullet"/>
        <w:spacing w:after="40"/>
      </w:pPr>
      <w:r>
        <w:rPr>
          <w:b/>
        </w:rPr>
        <w:t xml:space="preserve">Preposto: </w:t>
      </w:r>
      <w:r>
        <w:t>Elaborar o BM e anexar evidências completas e válidas.</w:t>
      </w:r>
    </w:p>
    <w:p>
      <w:pPr>
        <w:pStyle w:val="ListBullet"/>
        <w:spacing w:after="40"/>
      </w:pPr>
      <w:r>
        <w:rPr>
          <w:b/>
        </w:rPr>
        <w:t xml:space="preserve">Fiscal: </w:t>
      </w:r>
      <w:r>
        <w:t>Conferência técnica e registro da inspeção de qualidade.</w:t>
      </w:r>
    </w:p>
    <w:p>
      <w:pPr>
        <w:pStyle w:val="ListBullet"/>
        <w:spacing w:after="40"/>
      </w:pPr>
      <w:r>
        <w:rPr>
          <w:b/>
        </w:rPr>
        <w:t xml:space="preserve">Gestor: </w:t>
      </w:r>
      <w:r>
        <w:t>Análise gerencial, orçamentária e de escopo.</w:t>
      </w:r>
    </w:p>
    <w:p>
      <w:pPr>
        <w:pStyle w:val="ListBullet"/>
        <w:spacing w:after="40"/>
      </w:pPr>
      <w:r>
        <w:rPr>
          <w:b/>
        </w:rPr>
        <w:t xml:space="preserve">Administrador: </w:t>
      </w:r>
      <w:r>
        <w:t>Validação administrativa/documental final e liberação ao fluxo financeiro.</w:t>
      </w:r>
    </w:p>
    <w:p>
      <w:pPr>
        <w:pStyle w:val="ListBullet"/>
        <w:spacing w:after="40"/>
      </w:pPr>
      <w:r>
        <w:rPr>
          <w:b/>
        </w:rPr>
        <w:t xml:space="preserve">CGC: </w:t>
      </w:r>
      <w:r>
        <w:t>Garantir a aplicação destes critérios, a segregação de funções e a rastreabilidade no SIGEC.</w:t>
      </w:r>
    </w:p>
    <w:p>
      <w:pPr>
        <w:spacing w:before="200" w:after="80"/>
      </w:pPr>
      <w:r>
        <w:rPr>
          <w:b/>
          <w:color w:val="13233F"/>
          <w:sz w:val="28"/>
        </w:rPr>
        <w:t>9. EVIDÊNCIAS GERADAS (para auditoria SOX)</w:t>
      </w:r>
    </w:p>
    <w:p>
      <w:pPr>
        <w:pStyle w:val="ListBullet"/>
        <w:spacing w:after="40"/>
      </w:pPr>
      <w:r>
        <w:t>BM aprovado com trilha de aprovação sequencial no SIGEC;</w:t>
      </w:r>
    </w:p>
    <w:p>
      <w:pPr>
        <w:pStyle w:val="ListBullet"/>
        <w:spacing w:after="40"/>
      </w:pPr>
      <w:r>
        <w:t>Checklist/relatório de inspeção técnica do Fiscal;</w:t>
      </w:r>
    </w:p>
    <w:p>
      <w:pPr>
        <w:pStyle w:val="ListBullet"/>
        <w:spacing w:after="40"/>
      </w:pPr>
      <w:r>
        <w:t>Registro de amostragem de evidências (≥10%);</w:t>
      </w:r>
    </w:p>
    <w:p>
      <w:pPr>
        <w:pStyle w:val="ListBullet"/>
        <w:spacing w:after="40"/>
      </w:pPr>
      <w:r>
        <w:t>Registro de recusa com motivo, quando aplicável;</w:t>
      </w:r>
    </w:p>
    <w:p>
      <w:pPr>
        <w:pStyle w:val="ListBullet"/>
        <w:spacing w:after="40"/>
      </w:pPr>
      <w:r>
        <w:t>COA validado pela Equipe Info.</w:t>
      </w:r>
    </w:p>
    <w:p>
      <w:pPr>
        <w:spacing w:before="200" w:after="80"/>
      </w:pPr>
      <w:r>
        <w:rPr>
          <w:b/>
          <w:color w:val="13233F"/>
          <w:sz w:val="28"/>
        </w:rPr>
        <w:t>10. VALIDAÇÕES E HISTÓRICO DE REVISÃO</w:t>
      </w:r>
    </w:p>
    <w:p>
      <w:pPr>
        <w:spacing w:after="80"/>
      </w:pPr>
      <w:r>
        <w:rPr>
          <w:b w:val="0"/>
          <w:i w:val="0"/>
          <w:sz w:val="21"/>
        </w:rPr>
        <w:t>Toda alteração deste procedimento deve ser validada pela Coordenação da Controladoria e aprovada pela Gerência Administrativa Financeira.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Rev.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__/06/2026</w:t>
            </w:r>
          </w:p>
        </w:tc>
        <w:tc>
          <w:tcPr>
            <w:tcW w:type="dxa" w:w="2880"/>
          </w:tcPr>
          <w:p>
            <w:r>
              <w:t>Emissão inicial — remediação dos controles SOX C.PTP-05b e C.PTP-06a.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