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278E" w14:textId="6EC49DF5" w:rsidR="003C7A5E" w:rsidRDefault="003C7A5E" w:rsidP="00EF0662">
      <w:r>
        <w:t>Both</w:t>
      </w:r>
      <w:r>
        <w:t xml:space="preserve"> datasets</w:t>
      </w:r>
      <w:r>
        <w:t>:</w:t>
      </w:r>
    </w:p>
    <w:p w14:paraId="4C78BD49" w14:textId="51C340BE" w:rsidR="00EF0662" w:rsidRDefault="00EF0662" w:rsidP="00EF0662">
      <w:r>
        <w:t>1. Demographics (e.g., age, gender, geographic location, location of work, nature of work role, type of organisation, highest level of education obtained</w:t>
      </w:r>
      <w:r w:rsidR="003C7A5E">
        <w:t>)</w:t>
      </w:r>
    </w:p>
    <w:p w14:paraId="4F0286EA" w14:textId="691015A9" w:rsidR="00EF0662" w:rsidRDefault="00EF0662" w:rsidP="00EF0662">
      <w:r>
        <w:t xml:space="preserve">2. Levels of depression, anxiety, and stress as measured by the DASS-21 </w:t>
      </w:r>
      <w:r>
        <w:fldChar w:fldCharType="begin"/>
      </w:r>
      <w:r>
        <w:instrText xml:space="preserve"> ADDIN ZOTERO_ITEM CSL_CITATION {"citationID":"9LDcXAXr","properties":{"formattedCitation":"(range of 0 to 7 per scale; Lovibond &amp; Lovibond, 1995)","plainCitation":"(range of 0 to 7 per scale; Lovibond &amp; Lovibond, 1995)","noteIndex":0},"citationItems":[{"id":5562,"uris":["http://zotero.org/groups/2438848/items/Y5D9Q2F3"],"itemData":{"id":5562,"type":"article-journal","abstract":"The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discussed.","container-title":"Behaviour Research and Therapy","DOI":"10.1016/0005-7967(94)00075-U","ISSN":"0005-7967","issue":"3","journalAbbreviation":"Behaviour Research and Therapy","page":"335-343","source":"ScienceDirect","title":"The structure of negative emotional states: Comparison of the Depression Anxiety Stress Scales (DASS) with the Beck Depression and Anxiety Inventories","title-short":"The structure of negative emotional states","volume":"33","author":[{"family":"Lovibond","given":"P. F."},{"family":"Lovibond","given":"S. H."}],"issued":{"date-parts":[["1995",3,1]]}},"label":"page","prefix":"range of 0 to 7 per scale;"}],"schema":"https://github.com/citation-style-language/schema/raw/master/csl-citation.json"} </w:instrText>
      </w:r>
      <w:r>
        <w:fldChar w:fldCharType="separate"/>
      </w:r>
      <w:r>
        <w:rPr>
          <w:noProof/>
        </w:rPr>
        <w:t>(range of 0 to 7 per scale; Lovibond &amp; Lovibond, 1995)</w:t>
      </w:r>
      <w:r>
        <w:fldChar w:fldCharType="end"/>
      </w:r>
      <w:r>
        <w:t xml:space="preserve"> </w:t>
      </w:r>
    </w:p>
    <w:p w14:paraId="2EFEA057" w14:textId="7EDA5886" w:rsidR="00EF0662" w:rsidRDefault="00EF0662" w:rsidP="00EF0662">
      <w:r>
        <w:t xml:space="preserve">3. Personal burnout as measured by the Copenhagen Burnout Inventory </w:t>
      </w:r>
      <w:r>
        <w:fldChar w:fldCharType="begin"/>
      </w:r>
      <w:r>
        <w:instrText xml:space="preserve"> ADDIN ZOTERO_ITEM CSL_CITATION {"citationID":"jbDbjEf1","properties":{"formattedCitation":"(range of 0 10 100; Kristensen et al., 2005)","plainCitation":"(range of 0 10 100; Kristensen et al., 2005)","noteIndex":0},"citationItems":[{"id":5560,"uris":["http://zotero.org/groups/2438848/items/YXCAIZMK"],"itemData":{"id":5560,"type":"article-journal","abstract":"So far, the large majority of studies on burnout in the international literature have employed the Maslach Burnout Inventory (MBI). In this paper we criticize the MBI on a number of points and present a new tool for the measurement of burnout: the Copenhagen Burnout Inventory (CBI). The CBI consists of three scales measuring personal burnout, work-related burnout, and client-related burnout, for use in different domains. On the basis of an ongoing prospective study of burnout in employees in the human service sector, the PUMA study (Project on Burnout, Motivation and Job Satisfaction; N=1914 at baseline), we analysed the validity and reliability of the CBI. All three scales were found to have very high internal reliability, and non-response rates were small. The scales differentiated well between occupational groups in the human service sector, and the expected pattern with regard to correlations with other measures of fatigue and psychological well-being was found. Furthermore, the three scales predicted future sickness absence, sleep problems, use of pain-killers, and intention to quit. Analyses of changes over time showed that substantial proportions of the employees changed with regard to burnout levels. It is concluded that the analyses indicate very satisfactory reliability and validity for the CBI instrument. The CBI is being used in a number of countries and translations into eight languages are available.","container-title":"Work &amp; Stress","DOI":"10.1080/02678370500297720","ISSN":"0267-8373","issue":"3","note":"publisher: Routledge\n_eprint: https://doi.org/10.1080/02678370500297720","page":"192-207","source":"Taylor and Francis+NEJM","title":"The Copenhagen Burnout Inventory: A new tool for the assessment of burnout","title-short":"The Copenhagen Burnout Inventory","volume":"19","author":[{"family":"Kristensen","given":"Tage S."},{"family":"Borritz","given":"Marianne"},{"family":"Villadsen","given":"Ebbe"},{"family":"Christensen","given":"Karl B."}],"issued":{"date-parts":[["2005",7,1]]}},"prefix":"range of 0 10 100; "}],"schema":"https://github.com/citation-style-language/schema/raw/master/csl-citation.json"} </w:instrText>
      </w:r>
      <w:r>
        <w:fldChar w:fldCharType="separate"/>
      </w:r>
      <w:r>
        <w:rPr>
          <w:noProof/>
        </w:rPr>
        <w:t>(range of 0 10 100; Kristensen et al., 2005)</w:t>
      </w:r>
      <w:r>
        <w:fldChar w:fldCharType="end"/>
      </w:r>
    </w:p>
    <w:p w14:paraId="795A0191" w14:textId="1FB353CA" w:rsidR="00EF0662" w:rsidRDefault="00EF0662" w:rsidP="00EF0662">
      <w:r>
        <w:t xml:space="preserve">4. Work-related burnout as measured by the Copenhagen Burnout Inventory </w:t>
      </w:r>
      <w:r>
        <w:fldChar w:fldCharType="begin"/>
      </w:r>
      <w:r>
        <w:instrText xml:space="preserve"> ADDIN ZOTERO_ITEM CSL_CITATION {"citationID":"F2rFLOfq","properties":{"formattedCitation":"(range of 0 10 100; Kristensen et al., 2005)","plainCitation":"(range of 0 10 100; Kristensen et al., 2005)","noteIndex":0},"citationItems":[{"id":5560,"uris":["http://zotero.org/groups/2438848/items/YXCAIZMK"],"itemData":{"id":5560,"type":"article-journal","abstract":"So far, the large majority of studies on burnout in the international literature have employed the Maslach Burnout Inventory (MBI). In this paper we criticize the MBI on a number of points and present a new tool for the measurement of burnout: the Copenhagen Burnout Inventory (CBI). The CBI consists of three scales measuring personal burnout, work-related burnout, and client-related burnout, for use in different domains. On the basis of an ongoing prospective study of burnout in employees in the human service sector, the PUMA study (Project on Burnout, Motivation and Job Satisfaction; N=1914 at baseline), we analysed the validity and reliability of the CBI. All three scales were found to have very high internal reliability, and non-response rates were small. The scales differentiated well between occupational groups in the human service sector, and the expected pattern with regard to correlations with other measures of fatigue and psychological well-being was found. Furthermore, the three scales predicted future sickness absence, sleep problems, use of pain-killers, and intention to quit. Analyses of changes over time showed that substantial proportions of the employees changed with regard to burnout levels. It is concluded that the analyses indicate very satisfactory reliability and validity for the CBI instrument. The CBI is being used in a number of countries and translations into eight languages are available.","container-title":"Work &amp; Stress","DOI":"10.1080/02678370500297720","ISSN":"0267-8373","issue":"3","note":"publisher: Routledge\n_eprint: https://doi.org/10.1080/02678370500297720","page":"192-207","source":"Taylor and Francis+NEJM","title":"The Copenhagen Burnout Inventory: A new tool for the assessment of burnout","title-short":"The Copenhagen Burnout Inventory","volume":"19","author":[{"family":"Kristensen","given":"Tage S."},{"family":"Borritz","given":"Marianne"},{"family":"Villadsen","given":"Ebbe"},{"family":"Christensen","given":"Karl B."}],"issued":{"date-parts":[["2005",7,1]]}},"prefix":"range of 0 10 100; "}],"schema":"https://github.com/citation-style-language/schema/raw/master/csl-citation.json"} </w:instrText>
      </w:r>
      <w:r>
        <w:fldChar w:fldCharType="separate"/>
      </w:r>
      <w:r>
        <w:rPr>
          <w:noProof/>
        </w:rPr>
        <w:t>(range of 0 10 100; Kristensen et al., 2005)</w:t>
      </w:r>
      <w:r>
        <w:fldChar w:fldCharType="end"/>
      </w:r>
      <w:r>
        <w:t xml:space="preserve"> </w:t>
      </w:r>
    </w:p>
    <w:p w14:paraId="7A125C26" w14:textId="77777777" w:rsidR="00EF0662" w:rsidRDefault="00EF0662" w:rsidP="00EF0662"/>
    <w:p w14:paraId="0CFB2153" w14:textId="6FA0A6F6" w:rsidR="00EF0662" w:rsidRDefault="00EF0662" w:rsidP="00EF0662">
      <w:r>
        <w:t>2025 dataset</w:t>
      </w:r>
      <w:r>
        <w:t xml:space="preserve"> only</w:t>
      </w:r>
      <w:r>
        <w:t>:</w:t>
      </w:r>
    </w:p>
    <w:p w14:paraId="193A1431" w14:textId="37A16F27" w:rsidR="00EF0662" w:rsidRDefault="003C7A5E" w:rsidP="00EF0662">
      <w:r>
        <w:t>5</w:t>
      </w:r>
      <w:r w:rsidR="00EF0662">
        <w:t xml:space="preserve">. Perceived organisational support as measured by the Survey of Perceived Organizational Support, 8-item version </w:t>
      </w:r>
      <w:r w:rsidR="00EF0662">
        <w:fldChar w:fldCharType="begin"/>
      </w:r>
      <w:r w:rsidR="00EF0662">
        <w:instrText xml:space="preserve"> ADDIN ZOTERO_ITEM CSL_CITATION {"citationID":"1pAyjHib","properties":{"formattedCitation":"(range of 0 to 48; Eisenberger et al., 1986)","plainCitation":"(range of 0 to 48; Eisenberger et al., 1986)","noteIndex":0},"citationItems":[{"id":5574,"uris":["http://zotero.org/groups/2438848/items/LJNCQ3NQ"],"itemData":{"id":5574,"type":"article-journal","abstract":"Evidence is presented that (a) employees in an organization form global beliefs concerning the extent to which the organization values their contributions and cares about their well-being, (b) such perceived organizational support reduces absenteeism, and (c) the relation between perceived organizational support and absenteeism is greater for employees with a strong exchange ideology than those with a weak exchange ideology. These findings support the social exchange view that employees’ commitment to the organization is strongly influenced by their perception of the organization’s commitment to them. Perceived organizational support is assumed to increase the employee’s affective attachment to the organization and his or her expectancy that greater effort toward meeting organizational goals will be rewarded. The extent to which these factors increase work effort would depend on the strength of the employee’s exchange ideology favoring the trade of work effort for material and symbolic benefits.","container-title":"Journal of Applied Psychology","DOI":"10.1037/0021-9010.71.3.500","ISSN":"1939-1854","issue":"3","language":"en","note":"publisher: AMERICAN PSYCHOLOGICAL ASSOCIATION","page":"500-507","source":"www.sciencegate.app","title":"Perceived organizational support.","volume":"71","author":[{"family":"Eisenberger","given":"Robert"},{"family":"Huntington","given":"Robin"},{"family":"Hutchison","given":"Steven"},{"family":"Sowa","given":"Debora"}],"issued":{"date-parts":[["1986",8]]}},"label":"page","prefix":"range of 0 to 48; "}],"schema":"https://github.com/citation-style-language/schema/raw/master/csl-citation.json"} </w:instrText>
      </w:r>
      <w:r w:rsidR="00EF0662">
        <w:fldChar w:fldCharType="separate"/>
      </w:r>
      <w:r w:rsidR="00EF0662">
        <w:rPr>
          <w:noProof/>
        </w:rPr>
        <w:t>(range of 0 to 48; Eisenberger et al., 1986)</w:t>
      </w:r>
      <w:r w:rsidR="00EF0662">
        <w:fldChar w:fldCharType="end"/>
      </w:r>
    </w:p>
    <w:p w14:paraId="642567A0" w14:textId="61B27508" w:rsidR="00EF0662" w:rsidRDefault="003C7A5E" w:rsidP="00EF0662">
      <w:r>
        <w:t>6</w:t>
      </w:r>
      <w:r w:rsidR="00EF0662">
        <w:t>. Self-reported meaningful work as measured by the Work as Meaning Inventory</w:t>
      </w:r>
      <w:r w:rsidR="00EF0662">
        <w:t xml:space="preserve"> </w:t>
      </w:r>
      <w:r w:rsidR="00EF0662">
        <w:fldChar w:fldCharType="begin"/>
      </w:r>
      <w:r w:rsidR="00EF0662">
        <w:instrText xml:space="preserve"> ADDIN ZOTERO_ITEM CSL_CITATION {"citationID":"oEHr0QQf","properties":{"formattedCitation":"(Steger et al., 2012)","plainCitation":"(Steger et al., 2012)","noteIndex":0},"citationItems":[{"id":5566,"uris":["http://zotero.org/groups/2438848/items/D9V672MF"],"itemData":{"id":5566,"type":"article-journal","abstract":"Many people desire work that is meaningful. However, research in this area has attracted diverse ideas about meaningful work (MW), accompanied by an equally dis...","archive_location":"Sage CA: Los Angeles, CA","container-title":"Journal of Career Assessment","DOI":"10.1177/1069072711436160","language":"EN","license":"© The Author(s) 2012","note":"publisher: SAGE PublicationsSage CA: Los Angeles, CA","source":"journals.sagepub.com","title":"Measuring Meaningful Work","URL":"https://journals.sagepub.com/stoken/default+domain/zydIXN9InbnXa5uVjR7S/full","author":[{"family":"Steger","given":"Michael F."},{"family":"Dik","given":"Bryan J."},{"family":"Duffy","given":"Ryan D."}],"accessed":{"date-parts":[["2025",7,31]]},"issued":{"date-parts":[["2012",2,19]]}},"label":"page"}],"schema":"https://github.com/citation-style-language/schema/raw/master/csl-citation.json"} </w:instrText>
      </w:r>
      <w:r w:rsidR="00EF0662">
        <w:fldChar w:fldCharType="separate"/>
      </w:r>
      <w:r w:rsidR="00EF0662">
        <w:rPr>
          <w:noProof/>
        </w:rPr>
        <w:t>(Steger et al., 2012)</w:t>
      </w:r>
      <w:r w:rsidR="00EF0662">
        <w:fldChar w:fldCharType="end"/>
      </w:r>
      <w:r w:rsidR="00EF0662">
        <w:t xml:space="preserve">. </w:t>
      </w:r>
    </w:p>
    <w:p w14:paraId="0AB4CE9A" w14:textId="77777777" w:rsidR="00EF0662" w:rsidRDefault="00EF0662" w:rsidP="00EF0662">
      <w:r>
        <w:t xml:space="preserve">     Subscales</w:t>
      </w:r>
      <w:r>
        <w:t>:</w:t>
      </w:r>
      <w:r>
        <w:t xml:space="preserve"> </w:t>
      </w:r>
    </w:p>
    <w:p w14:paraId="5D6CE180" w14:textId="0175A7EB" w:rsidR="00EF0662" w:rsidRDefault="00EF0662" w:rsidP="00EF0662">
      <w:pPr>
        <w:pStyle w:val="ListParagraph"/>
        <w:numPr>
          <w:ilvl w:val="0"/>
          <w:numId w:val="1"/>
        </w:numPr>
      </w:pPr>
      <w:r>
        <w:t>Positive Meaning (range 4 to 20)</w:t>
      </w:r>
    </w:p>
    <w:p w14:paraId="0A055E70" w14:textId="19B7922E" w:rsidR="00EF0662" w:rsidRDefault="00EF0662" w:rsidP="00EF0662">
      <w:pPr>
        <w:pStyle w:val="ListParagraph"/>
        <w:numPr>
          <w:ilvl w:val="0"/>
          <w:numId w:val="1"/>
        </w:numPr>
      </w:pPr>
      <w:r>
        <w:t>Meaning Making through Work (range 3 to 15)</w:t>
      </w:r>
    </w:p>
    <w:p w14:paraId="0B04A517" w14:textId="3513C591" w:rsidR="00EF0662" w:rsidRDefault="00EF0662" w:rsidP="00EF0662">
      <w:pPr>
        <w:pStyle w:val="ListParagraph"/>
        <w:numPr>
          <w:ilvl w:val="0"/>
          <w:numId w:val="1"/>
        </w:numPr>
      </w:pPr>
      <w:r>
        <w:t xml:space="preserve">Greater Good Motivations (range 3 to 15) </w:t>
      </w:r>
    </w:p>
    <w:p w14:paraId="4C3E11E3" w14:textId="46F7B9A2" w:rsidR="00EF0662" w:rsidRDefault="003C7A5E" w:rsidP="00EF0662">
      <w:r>
        <w:t>7</w:t>
      </w:r>
      <w:r w:rsidR="00EF0662">
        <w:t xml:space="preserve">. General well-being as measured by the Short Warwick-Edinburgh Mental Well-Being Scale </w:t>
      </w:r>
      <w:r w:rsidR="00EF0662">
        <w:fldChar w:fldCharType="begin"/>
      </w:r>
      <w:r w:rsidR="00EF0662">
        <w:instrText xml:space="preserve"> ADDIN ZOTERO_ITEM CSL_CITATION {"citationID":"qrhc03EQ","properties":{"formattedCitation":"(range 7 to 35; Haver et al., 2015)","plainCitation":"(range 7 to 35; Haver et al., 2015)","noteIndex":0},"citationItems":[{"id":5554,"uris":["http://zotero.org/groups/2438848/items/X9AFTDFM"],"itemData":{"id":5554,"type":"article-journal","abstract":"AIMS: Mental health, currently one of the biggest challenges worldwide, requires attention and research. The aim of this study was to examine the psychometric properties of the Short Warwick-Edinburgh Mental Well-Being Scale (SWEMWBS), and validate the scale for use in Norway and Sweden. SWEMWBS, which includes both hedonic and eudemonic principles of mental well-being, could facilitate useful future studies.\nMETHOD: Data were collected among Norwegian and Swedish hotel managers (N=600) through self-rated online questionnaires. Tests used to examine the psychometric properties of the scale included descriptive statistics, correlations, reliability analyses, and explorative factor analyses in SPSS, as well as confirmatory factor analyses in AMOS. Robustness tests were run for gender and country subsamples.\nRESULTS: The scale showed adequate internal consistency and reliability. Results of the confirmatory factor analysis showed moderate fit in Norway and Sweden. In addition, the scale showed acceptable construct, criterion-related, and discriminant validity.\nCONCLUSION: The psychometric properties of the SWEMWBS were acceptable in both the Norwegian and the Swedish translations of the scale.","container-title":"Scandinavian Journal of Public Health","DOI":"10.1177/1403494815588862","ISSN":"1651-1905","issue":"7","journalAbbreviation":"Scand J Public Health","language":"eng","note":"PMID: 26041133","page":"721-727","source":"PubMed","title":"Measuring mental well-being: A validation of the Short Warwick-Edinburgh Mental Well-Being Scale in Norwegian and Swedish","title-short":"Measuring mental well-being","volume":"43","author":[{"family":"Haver","given":"Annie"},{"family":"Akerjordet","given":"Kristin"},{"family":"Caputi","given":"Peter"},{"family":"Furunes","given":"Trude"},{"family":"Magee","given":"Christopher"}],"issued":{"date-parts":[["2015",11]]}},"label":"page","prefix":"range 7 to 35; "}],"schema":"https://github.com/citation-style-language/schema/raw/master/csl-citation.json"} </w:instrText>
      </w:r>
      <w:r w:rsidR="00EF0662">
        <w:fldChar w:fldCharType="separate"/>
      </w:r>
      <w:r w:rsidR="00EF0662">
        <w:rPr>
          <w:noProof/>
        </w:rPr>
        <w:t>(range 7 to 35; Haver et al., 2015)</w:t>
      </w:r>
      <w:r w:rsidR="00EF0662">
        <w:fldChar w:fldCharType="end"/>
      </w:r>
    </w:p>
    <w:p w14:paraId="04410397" w14:textId="1F760216" w:rsidR="00EF0662" w:rsidRDefault="003C7A5E" w:rsidP="00EF0662">
      <w:r>
        <w:t>8</w:t>
      </w:r>
      <w:r w:rsidR="00EF0662">
        <w:t xml:space="preserve">. Eco-anxiety as measured by the Hogg Eco-anxiety Scale </w:t>
      </w:r>
      <w:r w:rsidR="00EF0662">
        <w:fldChar w:fldCharType="begin"/>
      </w:r>
      <w:r w:rsidR="00EF0662">
        <w:instrText xml:space="preserve"> ADDIN ZOTERO_ITEM CSL_CITATION {"citationID":"wiTGIcnr","properties":{"formattedCitation":"(range o to 39; Hogg et al., 2021)","plainCitation":"(range o to 39; Hogg et al., 2021)","noteIndex":0},"citationItems":[{"id":5556,"uris":["http://zotero.org/groups/2438848/items/KSVL7JDV"],"itemData":{"id":5556,"type":"article-journal","abstract":"Anxiety relating to a multitude of ecological crises, or eco-anxiety, is a subject of growing research significance. We used a multi-study mixed-methods design to explore eco-anxiety in Australia and New Zealand, validating a new eco-anxiety scale. In Study One, we developed and tested a 7-item eco-anxiety scale (n = 334), finding that this captured some, but not all, experiences of eco-anxiety. We found that people were anxious about a range of environmental conditions and their personal negative impact on the planet. Notably, people’s anxiety about different environmental conditions (e.g., climate change, environmental degradation, pollution) were interconnected, lending support for the existence of eco-anxiety (a broader construct that encompasses climate change anxiety). These results informed further scale development in Study Two. Exploratory (n = 365) and Confirmatory Factor Analysis (n = 370) supported a final 13-item scale that captured four dimensions of eco-anxiety: affective symptoms, rumination, behavioural symptoms, and anxiety about one’s negative impact on the planet, which were each distinct from stress, anxiety and depression. A further longitudinal sample (n = 189) established the stability of these factors across time. Findings support eco-anxiety as a quantifiable psychological experience, reliably measured using our 13-item eco-anxiety scale, and differentiated from mental health outcomes.","container-title":"Global Environmental Change","DOI":"10.1016/j.gloenvcha.2021.102391","ISSN":"0959-3780","journalAbbreviation":"Global Environmental Change","page":"102391","source":"ScienceDirect","title":"The Hogg Eco-Anxiety Scale: Development and validation of a multidimensional scale","title-short":"The Hogg Eco-Anxiety Scale","volume":"71","author":[{"family":"Hogg","given":"Teaghan L."},{"family":"Stanley","given":"Samantha K."},{"family":"O'Brien","given":"Léan V."},{"family":"Wilson","given":"Marc S."},{"family":"Watsford","given":"Clare R."}],"issued":{"date-parts":[["2021",11,1]]}},"label":"page","prefix":"range o to 39; "}],"schema":"https://github.com/citation-style-language/schema/raw/master/csl-citation.json"} </w:instrText>
      </w:r>
      <w:r w:rsidR="00EF0662">
        <w:fldChar w:fldCharType="separate"/>
      </w:r>
      <w:r w:rsidR="00EF0662">
        <w:rPr>
          <w:noProof/>
        </w:rPr>
        <w:t>(range o to 39; Hogg et al., 2021)</w:t>
      </w:r>
      <w:r w:rsidR="00EF0662">
        <w:fldChar w:fldCharType="end"/>
      </w:r>
      <w:r w:rsidR="00EF0662">
        <w:t xml:space="preserve">   </w:t>
      </w:r>
    </w:p>
    <w:p w14:paraId="06DFAC0C" w14:textId="77777777" w:rsidR="00EF0662" w:rsidRDefault="00EF0662" w:rsidP="00EF0662">
      <w:r>
        <w:t xml:space="preserve">    Subscales</w:t>
      </w:r>
      <w:r>
        <w:t>:</w:t>
      </w:r>
    </w:p>
    <w:p w14:paraId="45B34AFC" w14:textId="77777777" w:rsidR="00EF0662" w:rsidRDefault="00EF0662" w:rsidP="00EF0662">
      <w:pPr>
        <w:pStyle w:val="ListParagraph"/>
        <w:numPr>
          <w:ilvl w:val="0"/>
          <w:numId w:val="2"/>
        </w:numPr>
      </w:pPr>
      <w:r>
        <w:t>Affective Symptoms (0 to 12)</w:t>
      </w:r>
    </w:p>
    <w:p w14:paraId="5757BDD7" w14:textId="77777777" w:rsidR="00EF0662" w:rsidRDefault="00EF0662" w:rsidP="00EF0662">
      <w:pPr>
        <w:pStyle w:val="ListParagraph"/>
        <w:numPr>
          <w:ilvl w:val="0"/>
          <w:numId w:val="2"/>
        </w:numPr>
      </w:pPr>
      <w:r>
        <w:t>Rumination (0 to 9)</w:t>
      </w:r>
    </w:p>
    <w:p w14:paraId="49AA1CBF" w14:textId="77777777" w:rsidR="00EF0662" w:rsidRDefault="00EF0662" w:rsidP="00EF0662">
      <w:pPr>
        <w:pStyle w:val="ListParagraph"/>
        <w:numPr>
          <w:ilvl w:val="0"/>
          <w:numId w:val="2"/>
        </w:numPr>
      </w:pPr>
      <w:r>
        <w:t>Behavioural Symptoms (0 to9)</w:t>
      </w:r>
    </w:p>
    <w:p w14:paraId="491C6861" w14:textId="1E1DB51D" w:rsidR="00EF0662" w:rsidRDefault="00EF0662" w:rsidP="00EF0662">
      <w:pPr>
        <w:pStyle w:val="ListParagraph"/>
        <w:numPr>
          <w:ilvl w:val="0"/>
          <w:numId w:val="2"/>
        </w:numPr>
      </w:pPr>
      <w:r>
        <w:t>Anxiety about Personal Impact (0 to 9)</w:t>
      </w:r>
    </w:p>
    <w:p w14:paraId="61DD1F3D" w14:textId="20C4A3F3" w:rsidR="00EF0662" w:rsidRDefault="003C7A5E" w:rsidP="00EF0662">
      <w:r>
        <w:t>9</w:t>
      </w:r>
      <w:r w:rsidR="00EF0662">
        <w:t xml:space="preserve">. Climate experts' coping strategies as per </w:t>
      </w:r>
      <w:proofErr w:type="spellStart"/>
      <w:r w:rsidR="00EF0662">
        <w:t>Jovarauskaite</w:t>
      </w:r>
      <w:proofErr w:type="spellEnd"/>
      <w:r w:rsidR="00EF0662">
        <w:t xml:space="preserve"> &amp; Bohm </w:t>
      </w:r>
      <w:r w:rsidR="00EF0662">
        <w:fldChar w:fldCharType="begin"/>
      </w:r>
      <w:r>
        <w:instrText xml:space="preserve"> ADDIN ZOTERO_ITEM CSL_CITATION {"citationID":"0iRh1snI","properties":{"formattedCitation":"(2021)","plainCitation":"(2021)","noteIndex":0},"citationItems":[{"id":5579,"uris":["http://zotero.org/groups/2438848/items/3VUPUPHN"],"itemData":{"id":5579,"type":"article-journal","abstract":"The study aimed to reveal the role of emotions in Lithuanian climate experts’ perceptions of climate change (i.e., their beliefs about the causes and risk perceptions of climate change) and fill the gap in scientific knowledge about the coping strategies that climate experts tend to employ in order to deal with climate-change-related emotions. To investigate climate experts’ emotional reactions to climate change, we applied a four-factor model comprising morality-based other- and self-related as well as consequence-based retrospective and prospective emotions. The results indicated that the climate experts showed great variation in their emotional reactions; two clusters of experts emerged – those who were emotionally engaged and those who were disengaged with regard to climate change. Emotionally engaged experts were more likely than their disengaged counterparts to emphasize anthropogenic climate change, to believe that the consequences of climate change would appear both locally and globally, and to consider the consequences to be uncontrollable, dreadful, and morally unacceptable. Emotionally engaged and disengaged climate experts agreed on the extent to which they evaluated climate change as societally disputed. Additionally, experts working in the government were more emotionally engaged with climate change issues than academics. Finally, in order to deal with climate-change-related emotions, emotionally engaged experts were more likely to invoke problem- and emotion-focused coping strategies, whereas the two groups of experts did not differ in their tendencies to avoid climate change issues.","container-title":"Journal of Risk Research","DOI":"10.1080/13669877.2020.1779785","ISSN":"1366-9877","issue":"8","note":"publisher: Routledge\n_eprint: https://doi.org/10.1080/13669877.2020.1779785","page":"941-957","source":"Taylor and Francis+NEJM","title":"The emotional engagement of climate experts is related to their climate change perceptions and coping strategies","volume":"24","author":[{"family":"Jovarauskaite","given":"Lina"},{"family":"Böhm","given":"Gisela"}],"issued":{"date-parts":[["2021",8,3]]}},"label":"page","suppress-author":true}],"schema":"https://github.com/citation-style-language/schema/raw/master/csl-citation.json"} </w:instrText>
      </w:r>
      <w:r w:rsidR="00EF0662">
        <w:fldChar w:fldCharType="separate"/>
      </w:r>
      <w:r>
        <w:rPr>
          <w:noProof/>
        </w:rPr>
        <w:t>(2021)</w:t>
      </w:r>
      <w:r w:rsidR="00EF0662">
        <w:fldChar w:fldCharType="end"/>
      </w:r>
    </w:p>
    <w:p w14:paraId="4854EBDC" w14:textId="77777777" w:rsidR="00EF0662" w:rsidRDefault="00EF0662" w:rsidP="00EF0662">
      <w:r>
        <w:t xml:space="preserve">    Subscales</w:t>
      </w:r>
      <w:r>
        <w:t xml:space="preserve">: </w:t>
      </w:r>
    </w:p>
    <w:p w14:paraId="51DE27B4" w14:textId="77777777" w:rsidR="00EF0662" w:rsidRDefault="00EF0662" w:rsidP="00EF0662">
      <w:pPr>
        <w:pStyle w:val="ListParagraph"/>
        <w:numPr>
          <w:ilvl w:val="0"/>
          <w:numId w:val="3"/>
        </w:numPr>
      </w:pPr>
      <w:r>
        <w:t>Problem-focused (range 3 to 18),</w:t>
      </w:r>
    </w:p>
    <w:p w14:paraId="7C0D32A8" w14:textId="215D428E" w:rsidR="00EF0662" w:rsidRDefault="00EF0662" w:rsidP="00EF0662">
      <w:pPr>
        <w:pStyle w:val="ListParagraph"/>
        <w:numPr>
          <w:ilvl w:val="0"/>
          <w:numId w:val="3"/>
        </w:numPr>
      </w:pPr>
      <w:r>
        <w:t>Emotion-focused (range 4 to 24)</w:t>
      </w:r>
    </w:p>
    <w:p w14:paraId="32EF7C6C" w14:textId="6F05C90A" w:rsidR="00222411" w:rsidRDefault="00EF0662" w:rsidP="00EF0662">
      <w:pPr>
        <w:pStyle w:val="ListParagraph"/>
        <w:numPr>
          <w:ilvl w:val="0"/>
          <w:numId w:val="3"/>
        </w:numPr>
      </w:pPr>
      <w:r>
        <w:t>Avoidance (range 4 to 24)</w:t>
      </w:r>
      <w:r>
        <w:t xml:space="preserve"> </w:t>
      </w:r>
    </w:p>
    <w:p w14:paraId="4C40884F" w14:textId="77777777" w:rsidR="003C7A5E" w:rsidRDefault="003C7A5E" w:rsidP="003C7A5E"/>
    <w:p w14:paraId="7A674E94" w14:textId="1AF42987" w:rsidR="00572A27" w:rsidRDefault="00572A27" w:rsidP="003C7A5E">
      <w:r>
        <w:t xml:space="preserve">References: </w:t>
      </w:r>
    </w:p>
    <w:p w14:paraId="3C78665E" w14:textId="77777777" w:rsidR="003C7A5E" w:rsidRPr="003C7A5E" w:rsidRDefault="003C7A5E" w:rsidP="003C7A5E">
      <w:pPr>
        <w:pStyle w:val="Bibliography"/>
        <w:rPr>
          <w:rFonts w:ascii="Aptos"/>
          <w:lang w:val="en-GB"/>
        </w:rPr>
      </w:pPr>
      <w:r>
        <w:fldChar w:fldCharType="begin"/>
      </w:r>
      <w:r>
        <w:instrText xml:space="preserve"> ADDIN ZOTERO_BIBL {"uncited":[],"omitted":[],"custom":[]} CSL_BIBLIOGRAPHY </w:instrText>
      </w:r>
      <w:r>
        <w:fldChar w:fldCharType="separate"/>
      </w:r>
      <w:r w:rsidRPr="003C7A5E">
        <w:rPr>
          <w:rFonts w:ascii="Aptos"/>
          <w:lang w:val="en-GB"/>
        </w:rPr>
        <w:t xml:space="preserve">Eisenberger, R., Huntington, R., Hutchison, S., &amp; Sowa, D. (1986). Perceived organizational support. </w:t>
      </w:r>
      <w:r w:rsidRPr="003C7A5E">
        <w:rPr>
          <w:rFonts w:ascii="Aptos"/>
          <w:i/>
          <w:iCs/>
          <w:lang w:val="en-GB"/>
        </w:rPr>
        <w:t>Journal of Applied Psychology</w:t>
      </w:r>
      <w:r w:rsidRPr="003C7A5E">
        <w:rPr>
          <w:rFonts w:ascii="Aptos"/>
          <w:lang w:val="en-GB"/>
        </w:rPr>
        <w:t xml:space="preserve">, </w:t>
      </w:r>
      <w:r w:rsidRPr="003C7A5E">
        <w:rPr>
          <w:rFonts w:ascii="Aptos"/>
          <w:i/>
          <w:iCs/>
          <w:lang w:val="en-GB"/>
        </w:rPr>
        <w:t>71</w:t>
      </w:r>
      <w:r w:rsidRPr="003C7A5E">
        <w:rPr>
          <w:rFonts w:ascii="Aptos"/>
          <w:lang w:val="en-GB"/>
        </w:rPr>
        <w:t>(3), 500–507. https://doi.org/10.1037/0021-9010.71.3.500</w:t>
      </w:r>
    </w:p>
    <w:p w14:paraId="71FBFAFD" w14:textId="77777777" w:rsidR="003C7A5E" w:rsidRPr="003C7A5E" w:rsidRDefault="003C7A5E" w:rsidP="003C7A5E">
      <w:pPr>
        <w:pStyle w:val="Bibliography"/>
        <w:rPr>
          <w:rFonts w:ascii="Aptos"/>
          <w:lang w:val="en-GB"/>
        </w:rPr>
      </w:pPr>
      <w:r w:rsidRPr="003C7A5E">
        <w:rPr>
          <w:rFonts w:ascii="Aptos"/>
          <w:lang w:val="en-GB"/>
        </w:rPr>
        <w:t xml:space="preserve">Haver, A., </w:t>
      </w:r>
      <w:proofErr w:type="spellStart"/>
      <w:r w:rsidRPr="003C7A5E">
        <w:rPr>
          <w:rFonts w:ascii="Aptos"/>
          <w:lang w:val="en-GB"/>
        </w:rPr>
        <w:t>Akerjordet</w:t>
      </w:r>
      <w:proofErr w:type="spellEnd"/>
      <w:r w:rsidRPr="003C7A5E">
        <w:rPr>
          <w:rFonts w:ascii="Aptos"/>
          <w:lang w:val="en-GB"/>
        </w:rPr>
        <w:t xml:space="preserve">, K., Caputi, P., Furunes, T., &amp; Magee, C. (2015). Measuring mental well-being: A validation of the Short Warwick-Edinburgh Mental Well-Being Scale </w:t>
      </w:r>
      <w:r w:rsidRPr="003C7A5E">
        <w:rPr>
          <w:rFonts w:ascii="Aptos"/>
          <w:lang w:val="en-GB"/>
        </w:rPr>
        <w:lastRenderedPageBreak/>
        <w:t xml:space="preserve">in Norwegian and Swedish. </w:t>
      </w:r>
      <w:r w:rsidRPr="003C7A5E">
        <w:rPr>
          <w:rFonts w:ascii="Aptos"/>
          <w:i/>
          <w:iCs/>
          <w:lang w:val="en-GB"/>
        </w:rPr>
        <w:t>Scandinavian Journal of Public Health</w:t>
      </w:r>
      <w:r w:rsidRPr="003C7A5E">
        <w:rPr>
          <w:rFonts w:ascii="Aptos"/>
          <w:lang w:val="en-GB"/>
        </w:rPr>
        <w:t xml:space="preserve">, </w:t>
      </w:r>
      <w:r w:rsidRPr="003C7A5E">
        <w:rPr>
          <w:rFonts w:ascii="Aptos"/>
          <w:i/>
          <w:iCs/>
          <w:lang w:val="en-GB"/>
        </w:rPr>
        <w:t>43</w:t>
      </w:r>
      <w:r w:rsidRPr="003C7A5E">
        <w:rPr>
          <w:rFonts w:ascii="Aptos"/>
          <w:lang w:val="en-GB"/>
        </w:rPr>
        <w:t>(7), 721–727. https://doi.org/10.1177/1403494815588862</w:t>
      </w:r>
    </w:p>
    <w:p w14:paraId="6AD8A9C1" w14:textId="77777777" w:rsidR="003C7A5E" w:rsidRPr="003C7A5E" w:rsidRDefault="003C7A5E" w:rsidP="003C7A5E">
      <w:pPr>
        <w:pStyle w:val="Bibliography"/>
        <w:rPr>
          <w:rFonts w:ascii="Aptos"/>
          <w:lang w:val="en-GB"/>
        </w:rPr>
      </w:pPr>
      <w:r w:rsidRPr="003C7A5E">
        <w:rPr>
          <w:rFonts w:ascii="Aptos"/>
          <w:lang w:val="en-GB"/>
        </w:rPr>
        <w:t xml:space="preserve">Hogg, T. L., Stanley, S. K., O’Brien, L. V., Wilson, M. S., &amp; </w:t>
      </w:r>
      <w:proofErr w:type="spellStart"/>
      <w:r w:rsidRPr="003C7A5E">
        <w:rPr>
          <w:rFonts w:ascii="Aptos"/>
          <w:lang w:val="en-GB"/>
        </w:rPr>
        <w:t>Watsford</w:t>
      </w:r>
      <w:proofErr w:type="spellEnd"/>
      <w:r w:rsidRPr="003C7A5E">
        <w:rPr>
          <w:rFonts w:ascii="Aptos"/>
          <w:lang w:val="en-GB"/>
        </w:rPr>
        <w:t xml:space="preserve">, C. R. (2021). The Hogg Eco-Anxiety Scale: Development and validation of a multidimensional scale. </w:t>
      </w:r>
      <w:r w:rsidRPr="003C7A5E">
        <w:rPr>
          <w:rFonts w:ascii="Aptos"/>
          <w:i/>
          <w:iCs/>
          <w:lang w:val="en-GB"/>
        </w:rPr>
        <w:t>Global Environmental Change</w:t>
      </w:r>
      <w:r w:rsidRPr="003C7A5E">
        <w:rPr>
          <w:rFonts w:ascii="Aptos"/>
          <w:lang w:val="en-GB"/>
        </w:rPr>
        <w:t xml:space="preserve">, </w:t>
      </w:r>
      <w:r w:rsidRPr="003C7A5E">
        <w:rPr>
          <w:rFonts w:ascii="Aptos"/>
          <w:i/>
          <w:iCs/>
          <w:lang w:val="en-GB"/>
        </w:rPr>
        <w:t>71</w:t>
      </w:r>
      <w:r w:rsidRPr="003C7A5E">
        <w:rPr>
          <w:rFonts w:ascii="Aptos"/>
          <w:lang w:val="en-GB"/>
        </w:rPr>
        <w:t>, 102391. https://doi.org/10.1016/j.gloenvcha.2021.102391</w:t>
      </w:r>
    </w:p>
    <w:p w14:paraId="14F5360B" w14:textId="77777777" w:rsidR="003C7A5E" w:rsidRPr="003C7A5E" w:rsidRDefault="003C7A5E" w:rsidP="003C7A5E">
      <w:pPr>
        <w:pStyle w:val="Bibliography"/>
        <w:rPr>
          <w:rFonts w:ascii="Aptos"/>
          <w:lang w:val="en-GB"/>
        </w:rPr>
      </w:pPr>
      <w:proofErr w:type="spellStart"/>
      <w:r w:rsidRPr="003C7A5E">
        <w:rPr>
          <w:rFonts w:ascii="Aptos"/>
          <w:lang w:val="en-GB"/>
        </w:rPr>
        <w:t>Jovarauskaite</w:t>
      </w:r>
      <w:proofErr w:type="spellEnd"/>
      <w:r w:rsidRPr="003C7A5E">
        <w:rPr>
          <w:rFonts w:ascii="Aptos"/>
          <w:lang w:val="en-GB"/>
        </w:rPr>
        <w:t xml:space="preserve">, L., &amp; Böhm, G. (2021). The emotional engagement of climate experts is related to their climate change perceptions and coping strategies. </w:t>
      </w:r>
      <w:r w:rsidRPr="003C7A5E">
        <w:rPr>
          <w:rFonts w:ascii="Aptos"/>
          <w:i/>
          <w:iCs/>
          <w:lang w:val="en-GB"/>
        </w:rPr>
        <w:t>Journal of Risk Research</w:t>
      </w:r>
      <w:r w:rsidRPr="003C7A5E">
        <w:rPr>
          <w:rFonts w:ascii="Aptos"/>
          <w:lang w:val="en-GB"/>
        </w:rPr>
        <w:t xml:space="preserve">, </w:t>
      </w:r>
      <w:r w:rsidRPr="003C7A5E">
        <w:rPr>
          <w:rFonts w:ascii="Aptos"/>
          <w:i/>
          <w:iCs/>
          <w:lang w:val="en-GB"/>
        </w:rPr>
        <w:t>24</w:t>
      </w:r>
      <w:r w:rsidRPr="003C7A5E">
        <w:rPr>
          <w:rFonts w:ascii="Aptos"/>
          <w:lang w:val="en-GB"/>
        </w:rPr>
        <w:t>(8), 941–957. https://doi.org/10.1080/13669877.2020.1779785</w:t>
      </w:r>
    </w:p>
    <w:p w14:paraId="1E271140" w14:textId="77777777" w:rsidR="003C7A5E" w:rsidRPr="003C7A5E" w:rsidRDefault="003C7A5E" w:rsidP="003C7A5E">
      <w:pPr>
        <w:pStyle w:val="Bibliography"/>
        <w:rPr>
          <w:rFonts w:ascii="Aptos"/>
          <w:lang w:val="en-GB"/>
        </w:rPr>
      </w:pPr>
      <w:r w:rsidRPr="003C7A5E">
        <w:rPr>
          <w:rFonts w:ascii="Aptos"/>
          <w:lang w:val="en-GB"/>
        </w:rPr>
        <w:t xml:space="preserve">Kristensen, T. S., Borritz, M., Villadsen, E., &amp; Christensen, K. B. (2005). The Copenhagen Burnout Inventory: A new tool for the assessment of burnout. </w:t>
      </w:r>
      <w:r w:rsidRPr="003C7A5E">
        <w:rPr>
          <w:rFonts w:ascii="Aptos"/>
          <w:i/>
          <w:iCs/>
          <w:lang w:val="en-GB"/>
        </w:rPr>
        <w:t>Work &amp; Stress</w:t>
      </w:r>
      <w:r w:rsidRPr="003C7A5E">
        <w:rPr>
          <w:rFonts w:ascii="Aptos"/>
          <w:lang w:val="en-GB"/>
        </w:rPr>
        <w:t xml:space="preserve">, </w:t>
      </w:r>
      <w:r w:rsidRPr="003C7A5E">
        <w:rPr>
          <w:rFonts w:ascii="Aptos"/>
          <w:i/>
          <w:iCs/>
          <w:lang w:val="en-GB"/>
        </w:rPr>
        <w:t>19</w:t>
      </w:r>
      <w:r w:rsidRPr="003C7A5E">
        <w:rPr>
          <w:rFonts w:ascii="Aptos"/>
          <w:lang w:val="en-GB"/>
        </w:rPr>
        <w:t>(3), 192–207. https://doi.org/10.1080/02678370500297720</w:t>
      </w:r>
    </w:p>
    <w:p w14:paraId="5BCD8224" w14:textId="77777777" w:rsidR="003C7A5E" w:rsidRPr="003C7A5E" w:rsidRDefault="003C7A5E" w:rsidP="003C7A5E">
      <w:pPr>
        <w:pStyle w:val="Bibliography"/>
        <w:rPr>
          <w:rFonts w:ascii="Aptos"/>
          <w:lang w:val="en-GB"/>
        </w:rPr>
      </w:pPr>
      <w:r w:rsidRPr="003C7A5E">
        <w:rPr>
          <w:rFonts w:ascii="Aptos"/>
          <w:lang w:val="en-GB"/>
        </w:rPr>
        <w:t xml:space="preserve">Lovibond, P. F., &amp; Lovibond, S. H. (1995). The structure of negative emotional states: Comparison of the Depression Anxiety Stress Scales (DASS) with the Beck Depression and Anxiety Inventories. </w:t>
      </w:r>
      <w:r w:rsidRPr="003C7A5E">
        <w:rPr>
          <w:rFonts w:ascii="Aptos"/>
          <w:i/>
          <w:iCs/>
          <w:lang w:val="en-GB"/>
        </w:rPr>
        <w:t>Behaviour Research and Therapy</w:t>
      </w:r>
      <w:r w:rsidRPr="003C7A5E">
        <w:rPr>
          <w:rFonts w:ascii="Aptos"/>
          <w:lang w:val="en-GB"/>
        </w:rPr>
        <w:t xml:space="preserve">, </w:t>
      </w:r>
      <w:r w:rsidRPr="003C7A5E">
        <w:rPr>
          <w:rFonts w:ascii="Aptos"/>
          <w:i/>
          <w:iCs/>
          <w:lang w:val="en-GB"/>
        </w:rPr>
        <w:t>33</w:t>
      </w:r>
      <w:r w:rsidRPr="003C7A5E">
        <w:rPr>
          <w:rFonts w:ascii="Aptos"/>
          <w:lang w:val="en-GB"/>
        </w:rPr>
        <w:t>(3), 335–343. https://doi.org/10.1016/0005-7967(94)00075-U</w:t>
      </w:r>
    </w:p>
    <w:p w14:paraId="76067A43" w14:textId="77777777" w:rsidR="003C7A5E" w:rsidRPr="003C7A5E" w:rsidRDefault="003C7A5E" w:rsidP="003C7A5E">
      <w:pPr>
        <w:pStyle w:val="Bibliography"/>
        <w:rPr>
          <w:rFonts w:ascii="Aptos"/>
          <w:lang w:val="en-GB"/>
        </w:rPr>
      </w:pPr>
      <w:r w:rsidRPr="003C7A5E">
        <w:rPr>
          <w:rFonts w:ascii="Aptos"/>
          <w:lang w:val="en-GB"/>
        </w:rPr>
        <w:t xml:space="preserve">Steger, M. F., Dik, B. J., &amp; Duffy, R. D. (2012). Measuring Meaningful Work. </w:t>
      </w:r>
      <w:r w:rsidRPr="003C7A5E">
        <w:rPr>
          <w:rFonts w:ascii="Aptos"/>
          <w:i/>
          <w:iCs/>
          <w:lang w:val="en-GB"/>
        </w:rPr>
        <w:t>Journal of Career Assessment</w:t>
      </w:r>
      <w:r w:rsidRPr="003C7A5E">
        <w:rPr>
          <w:rFonts w:ascii="Aptos"/>
          <w:lang w:val="en-GB"/>
        </w:rPr>
        <w:t>. https://doi.org/10.1177/1069072711436160</w:t>
      </w:r>
    </w:p>
    <w:p w14:paraId="059ED1C9" w14:textId="57776E6B" w:rsidR="003C7A5E" w:rsidRDefault="003C7A5E" w:rsidP="003C7A5E">
      <w:r>
        <w:fldChar w:fldCharType="end"/>
      </w:r>
    </w:p>
    <w:sectPr w:rsidR="003C7A5E" w:rsidSect="004E1CA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65996"/>
    <w:multiLevelType w:val="hybridMultilevel"/>
    <w:tmpl w:val="3F9A7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072F88"/>
    <w:multiLevelType w:val="hybridMultilevel"/>
    <w:tmpl w:val="4C82A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853294"/>
    <w:multiLevelType w:val="hybridMultilevel"/>
    <w:tmpl w:val="1DEE9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4448136">
    <w:abstractNumId w:val="0"/>
  </w:num>
  <w:num w:numId="2" w16cid:durableId="936793463">
    <w:abstractNumId w:val="2"/>
  </w:num>
  <w:num w:numId="3" w16cid:durableId="1606883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662"/>
    <w:rsid w:val="000015C4"/>
    <w:rsid w:val="000150A0"/>
    <w:rsid w:val="0004220F"/>
    <w:rsid w:val="00044984"/>
    <w:rsid w:val="00047868"/>
    <w:rsid w:val="000550E8"/>
    <w:rsid w:val="00056A12"/>
    <w:rsid w:val="00060337"/>
    <w:rsid w:val="0006145C"/>
    <w:rsid w:val="000715CC"/>
    <w:rsid w:val="00086EE8"/>
    <w:rsid w:val="00093DA5"/>
    <w:rsid w:val="000B2CDB"/>
    <w:rsid w:val="000B4E68"/>
    <w:rsid w:val="000C0D64"/>
    <w:rsid w:val="000C7836"/>
    <w:rsid w:val="000E7BD7"/>
    <w:rsid w:val="000F3043"/>
    <w:rsid w:val="00107788"/>
    <w:rsid w:val="0011092C"/>
    <w:rsid w:val="0011225C"/>
    <w:rsid w:val="00115E44"/>
    <w:rsid w:val="001347D7"/>
    <w:rsid w:val="00135338"/>
    <w:rsid w:val="00137FD8"/>
    <w:rsid w:val="00142D00"/>
    <w:rsid w:val="0015327D"/>
    <w:rsid w:val="00156BEE"/>
    <w:rsid w:val="001750AA"/>
    <w:rsid w:val="00182A10"/>
    <w:rsid w:val="00187436"/>
    <w:rsid w:val="00190F6C"/>
    <w:rsid w:val="00196B8A"/>
    <w:rsid w:val="001A0E6B"/>
    <w:rsid w:val="001B2FC5"/>
    <w:rsid w:val="001C420F"/>
    <w:rsid w:val="001D2BB0"/>
    <w:rsid w:val="001F7511"/>
    <w:rsid w:val="002036F3"/>
    <w:rsid w:val="00206801"/>
    <w:rsid w:val="002117C0"/>
    <w:rsid w:val="00212428"/>
    <w:rsid w:val="00222411"/>
    <w:rsid w:val="0022633D"/>
    <w:rsid w:val="00240507"/>
    <w:rsid w:val="00240A38"/>
    <w:rsid w:val="00240C42"/>
    <w:rsid w:val="00260E35"/>
    <w:rsid w:val="0026564A"/>
    <w:rsid w:val="002679AA"/>
    <w:rsid w:val="00286480"/>
    <w:rsid w:val="00292A07"/>
    <w:rsid w:val="00292AFF"/>
    <w:rsid w:val="00296CEC"/>
    <w:rsid w:val="00297E89"/>
    <w:rsid w:val="002B0D41"/>
    <w:rsid w:val="002B1DB2"/>
    <w:rsid w:val="002B6018"/>
    <w:rsid w:val="003120AB"/>
    <w:rsid w:val="00323842"/>
    <w:rsid w:val="00327B4D"/>
    <w:rsid w:val="00331257"/>
    <w:rsid w:val="003335B8"/>
    <w:rsid w:val="003343C2"/>
    <w:rsid w:val="00335D2B"/>
    <w:rsid w:val="00350E45"/>
    <w:rsid w:val="003553DB"/>
    <w:rsid w:val="0036545A"/>
    <w:rsid w:val="003735E7"/>
    <w:rsid w:val="00386512"/>
    <w:rsid w:val="00391A6B"/>
    <w:rsid w:val="003A2EAF"/>
    <w:rsid w:val="003A644A"/>
    <w:rsid w:val="003C0C91"/>
    <w:rsid w:val="003C4C0D"/>
    <w:rsid w:val="003C7221"/>
    <w:rsid w:val="003C7A5E"/>
    <w:rsid w:val="003E0073"/>
    <w:rsid w:val="003E144A"/>
    <w:rsid w:val="003F0679"/>
    <w:rsid w:val="003F3767"/>
    <w:rsid w:val="00401B33"/>
    <w:rsid w:val="004038AB"/>
    <w:rsid w:val="00410B64"/>
    <w:rsid w:val="0041593D"/>
    <w:rsid w:val="00417655"/>
    <w:rsid w:val="00420572"/>
    <w:rsid w:val="00421260"/>
    <w:rsid w:val="00421753"/>
    <w:rsid w:val="00427504"/>
    <w:rsid w:val="00430120"/>
    <w:rsid w:val="00431F4A"/>
    <w:rsid w:val="00433B30"/>
    <w:rsid w:val="00436A83"/>
    <w:rsid w:val="004721CE"/>
    <w:rsid w:val="004A25CF"/>
    <w:rsid w:val="004A6A9D"/>
    <w:rsid w:val="004B341D"/>
    <w:rsid w:val="004B6C0E"/>
    <w:rsid w:val="004B7281"/>
    <w:rsid w:val="004E1CA5"/>
    <w:rsid w:val="004F4DC9"/>
    <w:rsid w:val="00500D00"/>
    <w:rsid w:val="00501BFE"/>
    <w:rsid w:val="005128F5"/>
    <w:rsid w:val="00514E06"/>
    <w:rsid w:val="005163C4"/>
    <w:rsid w:val="00541979"/>
    <w:rsid w:val="005427E9"/>
    <w:rsid w:val="00561818"/>
    <w:rsid w:val="00572331"/>
    <w:rsid w:val="00572A27"/>
    <w:rsid w:val="00576FEB"/>
    <w:rsid w:val="00583654"/>
    <w:rsid w:val="00597770"/>
    <w:rsid w:val="005B28E4"/>
    <w:rsid w:val="005B2DF9"/>
    <w:rsid w:val="005B5153"/>
    <w:rsid w:val="005B6A18"/>
    <w:rsid w:val="005C21D8"/>
    <w:rsid w:val="005E169B"/>
    <w:rsid w:val="005E250D"/>
    <w:rsid w:val="005F5728"/>
    <w:rsid w:val="0061490E"/>
    <w:rsid w:val="0061618F"/>
    <w:rsid w:val="0061789F"/>
    <w:rsid w:val="00626D88"/>
    <w:rsid w:val="00631AA5"/>
    <w:rsid w:val="006339F7"/>
    <w:rsid w:val="00645A1E"/>
    <w:rsid w:val="006473E2"/>
    <w:rsid w:val="00660821"/>
    <w:rsid w:val="00661B6D"/>
    <w:rsid w:val="00662671"/>
    <w:rsid w:val="00692D61"/>
    <w:rsid w:val="00693013"/>
    <w:rsid w:val="006A2F74"/>
    <w:rsid w:val="006A3248"/>
    <w:rsid w:val="006A4867"/>
    <w:rsid w:val="006A5CC4"/>
    <w:rsid w:val="006B0F58"/>
    <w:rsid w:val="006B71A6"/>
    <w:rsid w:val="006C0E35"/>
    <w:rsid w:val="006C2D35"/>
    <w:rsid w:val="006C38A2"/>
    <w:rsid w:val="006E4DD2"/>
    <w:rsid w:val="006E640D"/>
    <w:rsid w:val="006E7C3A"/>
    <w:rsid w:val="006F6DE0"/>
    <w:rsid w:val="00703F6D"/>
    <w:rsid w:val="00705B99"/>
    <w:rsid w:val="0071510E"/>
    <w:rsid w:val="00724696"/>
    <w:rsid w:val="00724DFE"/>
    <w:rsid w:val="0073469F"/>
    <w:rsid w:val="00737A8F"/>
    <w:rsid w:val="00742FB8"/>
    <w:rsid w:val="00744B01"/>
    <w:rsid w:val="0075594E"/>
    <w:rsid w:val="00766B92"/>
    <w:rsid w:val="0077574B"/>
    <w:rsid w:val="007774D4"/>
    <w:rsid w:val="00783662"/>
    <w:rsid w:val="00783E38"/>
    <w:rsid w:val="00793B31"/>
    <w:rsid w:val="007966BD"/>
    <w:rsid w:val="007A5915"/>
    <w:rsid w:val="007A7EA5"/>
    <w:rsid w:val="007B052E"/>
    <w:rsid w:val="007B2373"/>
    <w:rsid w:val="007B4245"/>
    <w:rsid w:val="007B6925"/>
    <w:rsid w:val="007C2D29"/>
    <w:rsid w:val="007E0BF8"/>
    <w:rsid w:val="007E28BB"/>
    <w:rsid w:val="007E56AE"/>
    <w:rsid w:val="007E625E"/>
    <w:rsid w:val="007F58F7"/>
    <w:rsid w:val="00803AE1"/>
    <w:rsid w:val="00812F27"/>
    <w:rsid w:val="00835F6A"/>
    <w:rsid w:val="00837975"/>
    <w:rsid w:val="008414AA"/>
    <w:rsid w:val="00856EC3"/>
    <w:rsid w:val="00862121"/>
    <w:rsid w:val="00870F57"/>
    <w:rsid w:val="008764CB"/>
    <w:rsid w:val="00887FCF"/>
    <w:rsid w:val="00893039"/>
    <w:rsid w:val="008932C2"/>
    <w:rsid w:val="00893609"/>
    <w:rsid w:val="00894572"/>
    <w:rsid w:val="00894B7B"/>
    <w:rsid w:val="008A08E6"/>
    <w:rsid w:val="008A12A4"/>
    <w:rsid w:val="008A13D6"/>
    <w:rsid w:val="008A17BD"/>
    <w:rsid w:val="008A3CF9"/>
    <w:rsid w:val="008B6D7A"/>
    <w:rsid w:val="008D0D45"/>
    <w:rsid w:val="008D4724"/>
    <w:rsid w:val="008D693E"/>
    <w:rsid w:val="008F0CDF"/>
    <w:rsid w:val="008F500D"/>
    <w:rsid w:val="008F7DE2"/>
    <w:rsid w:val="00931286"/>
    <w:rsid w:val="0093174E"/>
    <w:rsid w:val="00933CED"/>
    <w:rsid w:val="00941453"/>
    <w:rsid w:val="0094147C"/>
    <w:rsid w:val="00941FAD"/>
    <w:rsid w:val="0095316E"/>
    <w:rsid w:val="00954C79"/>
    <w:rsid w:val="00962909"/>
    <w:rsid w:val="00965508"/>
    <w:rsid w:val="00987084"/>
    <w:rsid w:val="00993D6F"/>
    <w:rsid w:val="009B5FF0"/>
    <w:rsid w:val="009C3FAB"/>
    <w:rsid w:val="009F28C0"/>
    <w:rsid w:val="00A0074D"/>
    <w:rsid w:val="00A0409C"/>
    <w:rsid w:val="00A1113A"/>
    <w:rsid w:val="00A146F7"/>
    <w:rsid w:val="00A14AE1"/>
    <w:rsid w:val="00A31610"/>
    <w:rsid w:val="00A34C30"/>
    <w:rsid w:val="00A35016"/>
    <w:rsid w:val="00A35BCA"/>
    <w:rsid w:val="00A41771"/>
    <w:rsid w:val="00A4209A"/>
    <w:rsid w:val="00A43D66"/>
    <w:rsid w:val="00A45055"/>
    <w:rsid w:val="00A507BC"/>
    <w:rsid w:val="00A546BF"/>
    <w:rsid w:val="00A55F60"/>
    <w:rsid w:val="00A56C13"/>
    <w:rsid w:val="00A75D74"/>
    <w:rsid w:val="00A80217"/>
    <w:rsid w:val="00A877E9"/>
    <w:rsid w:val="00A93B15"/>
    <w:rsid w:val="00AB52E7"/>
    <w:rsid w:val="00AC1AA4"/>
    <w:rsid w:val="00AC228B"/>
    <w:rsid w:val="00AD569D"/>
    <w:rsid w:val="00AE289C"/>
    <w:rsid w:val="00B24837"/>
    <w:rsid w:val="00B2644E"/>
    <w:rsid w:val="00B26A05"/>
    <w:rsid w:val="00B27E31"/>
    <w:rsid w:val="00B42276"/>
    <w:rsid w:val="00B4366F"/>
    <w:rsid w:val="00B53C11"/>
    <w:rsid w:val="00B55B69"/>
    <w:rsid w:val="00B61781"/>
    <w:rsid w:val="00B651A1"/>
    <w:rsid w:val="00B76642"/>
    <w:rsid w:val="00B92F79"/>
    <w:rsid w:val="00BA01A5"/>
    <w:rsid w:val="00BA239A"/>
    <w:rsid w:val="00BA3073"/>
    <w:rsid w:val="00BB78C5"/>
    <w:rsid w:val="00BC0807"/>
    <w:rsid w:val="00BF0C79"/>
    <w:rsid w:val="00BF3528"/>
    <w:rsid w:val="00C03FB2"/>
    <w:rsid w:val="00C12973"/>
    <w:rsid w:val="00C129B9"/>
    <w:rsid w:val="00C12E7F"/>
    <w:rsid w:val="00C160BC"/>
    <w:rsid w:val="00C16F6A"/>
    <w:rsid w:val="00C75C5D"/>
    <w:rsid w:val="00C77FCB"/>
    <w:rsid w:val="00C82D12"/>
    <w:rsid w:val="00C926D8"/>
    <w:rsid w:val="00C95BA7"/>
    <w:rsid w:val="00CB17AC"/>
    <w:rsid w:val="00CC28D6"/>
    <w:rsid w:val="00CC6527"/>
    <w:rsid w:val="00CF6054"/>
    <w:rsid w:val="00CF69A7"/>
    <w:rsid w:val="00D02222"/>
    <w:rsid w:val="00D07C55"/>
    <w:rsid w:val="00D23477"/>
    <w:rsid w:val="00D300E6"/>
    <w:rsid w:val="00D30B5E"/>
    <w:rsid w:val="00D334BB"/>
    <w:rsid w:val="00D33C91"/>
    <w:rsid w:val="00D41885"/>
    <w:rsid w:val="00D46A14"/>
    <w:rsid w:val="00D50130"/>
    <w:rsid w:val="00D51AD7"/>
    <w:rsid w:val="00D65252"/>
    <w:rsid w:val="00D7007E"/>
    <w:rsid w:val="00D75321"/>
    <w:rsid w:val="00D77E26"/>
    <w:rsid w:val="00D803DE"/>
    <w:rsid w:val="00D842C3"/>
    <w:rsid w:val="00D90B74"/>
    <w:rsid w:val="00DA518C"/>
    <w:rsid w:val="00DB1D22"/>
    <w:rsid w:val="00DC3010"/>
    <w:rsid w:val="00DC3F3E"/>
    <w:rsid w:val="00DD0BC5"/>
    <w:rsid w:val="00DD7747"/>
    <w:rsid w:val="00DE039F"/>
    <w:rsid w:val="00DE4F59"/>
    <w:rsid w:val="00DE55E0"/>
    <w:rsid w:val="00DF7E70"/>
    <w:rsid w:val="00E06390"/>
    <w:rsid w:val="00E10147"/>
    <w:rsid w:val="00E1596D"/>
    <w:rsid w:val="00E31183"/>
    <w:rsid w:val="00E3574F"/>
    <w:rsid w:val="00E407EC"/>
    <w:rsid w:val="00E47D3B"/>
    <w:rsid w:val="00E662FE"/>
    <w:rsid w:val="00E77261"/>
    <w:rsid w:val="00EB3904"/>
    <w:rsid w:val="00ED0E78"/>
    <w:rsid w:val="00ED182E"/>
    <w:rsid w:val="00ED2668"/>
    <w:rsid w:val="00ED2828"/>
    <w:rsid w:val="00EE7D0B"/>
    <w:rsid w:val="00EF0662"/>
    <w:rsid w:val="00EF6F78"/>
    <w:rsid w:val="00F027B6"/>
    <w:rsid w:val="00F02897"/>
    <w:rsid w:val="00F073FA"/>
    <w:rsid w:val="00F1149C"/>
    <w:rsid w:val="00F1710A"/>
    <w:rsid w:val="00F415D3"/>
    <w:rsid w:val="00F42F0C"/>
    <w:rsid w:val="00F43835"/>
    <w:rsid w:val="00F4688E"/>
    <w:rsid w:val="00F47759"/>
    <w:rsid w:val="00F621FF"/>
    <w:rsid w:val="00F63BCD"/>
    <w:rsid w:val="00F73AEA"/>
    <w:rsid w:val="00F74E71"/>
    <w:rsid w:val="00F75EDB"/>
    <w:rsid w:val="00F80005"/>
    <w:rsid w:val="00F86B3F"/>
    <w:rsid w:val="00F92E43"/>
    <w:rsid w:val="00F97545"/>
    <w:rsid w:val="00FB038A"/>
    <w:rsid w:val="00FB1D9F"/>
    <w:rsid w:val="00FB5242"/>
    <w:rsid w:val="00FD2CBA"/>
    <w:rsid w:val="00FD3632"/>
    <w:rsid w:val="00FD4FD7"/>
    <w:rsid w:val="00FF31D1"/>
    <w:rsid w:val="00FF6C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6CF2161"/>
  <w15:chartTrackingRefBased/>
  <w15:docId w15:val="{A33ABD9B-152E-7C4A-9FFD-F5FDB97F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6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6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6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6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662"/>
    <w:rPr>
      <w:rFonts w:eastAsiaTheme="majorEastAsia" w:cstheme="majorBidi"/>
      <w:color w:val="272727" w:themeColor="text1" w:themeTint="D8"/>
    </w:rPr>
  </w:style>
  <w:style w:type="paragraph" w:styleId="Title">
    <w:name w:val="Title"/>
    <w:basedOn w:val="Normal"/>
    <w:next w:val="Normal"/>
    <w:link w:val="TitleChar"/>
    <w:uiPriority w:val="10"/>
    <w:qFormat/>
    <w:rsid w:val="00EF06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6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6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662"/>
    <w:rPr>
      <w:i/>
      <w:iCs/>
      <w:color w:val="404040" w:themeColor="text1" w:themeTint="BF"/>
    </w:rPr>
  </w:style>
  <w:style w:type="paragraph" w:styleId="ListParagraph">
    <w:name w:val="List Paragraph"/>
    <w:basedOn w:val="Normal"/>
    <w:uiPriority w:val="34"/>
    <w:qFormat/>
    <w:rsid w:val="00EF0662"/>
    <w:pPr>
      <w:ind w:left="720"/>
      <w:contextualSpacing/>
    </w:pPr>
  </w:style>
  <w:style w:type="character" w:styleId="IntenseEmphasis">
    <w:name w:val="Intense Emphasis"/>
    <w:basedOn w:val="DefaultParagraphFont"/>
    <w:uiPriority w:val="21"/>
    <w:qFormat/>
    <w:rsid w:val="00EF0662"/>
    <w:rPr>
      <w:i/>
      <w:iCs/>
      <w:color w:val="0F4761" w:themeColor="accent1" w:themeShade="BF"/>
    </w:rPr>
  </w:style>
  <w:style w:type="paragraph" w:styleId="IntenseQuote">
    <w:name w:val="Intense Quote"/>
    <w:basedOn w:val="Normal"/>
    <w:next w:val="Normal"/>
    <w:link w:val="IntenseQuoteChar"/>
    <w:uiPriority w:val="30"/>
    <w:qFormat/>
    <w:rsid w:val="00EF0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662"/>
    <w:rPr>
      <w:i/>
      <w:iCs/>
      <w:color w:val="0F4761" w:themeColor="accent1" w:themeShade="BF"/>
    </w:rPr>
  </w:style>
  <w:style w:type="character" w:styleId="IntenseReference">
    <w:name w:val="Intense Reference"/>
    <w:basedOn w:val="DefaultParagraphFont"/>
    <w:uiPriority w:val="32"/>
    <w:qFormat/>
    <w:rsid w:val="00EF0662"/>
    <w:rPr>
      <w:b/>
      <w:bCs/>
      <w:smallCaps/>
      <w:color w:val="0F4761" w:themeColor="accent1" w:themeShade="BF"/>
      <w:spacing w:val="5"/>
    </w:rPr>
  </w:style>
  <w:style w:type="paragraph" w:styleId="Bibliography">
    <w:name w:val="Bibliography"/>
    <w:basedOn w:val="Normal"/>
    <w:next w:val="Normal"/>
    <w:uiPriority w:val="37"/>
    <w:unhideWhenUsed/>
    <w:rsid w:val="003C7A5E"/>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3191</Words>
  <Characters>18191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Apthorp</dc:creator>
  <cp:keywords/>
  <dc:description/>
  <cp:lastModifiedBy>Deborah Apthorp</cp:lastModifiedBy>
  <cp:revision>3</cp:revision>
  <dcterms:created xsi:type="dcterms:W3CDTF">2025-08-14T01:36:00Z</dcterms:created>
  <dcterms:modified xsi:type="dcterms:W3CDTF">2025-08-24T23:46:00Z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id="6O4XPWiK"/&gt;&lt;style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