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9.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 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process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for all participants at a highly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w:t>
      </w:r>
      <m:oMath>
        <m:sSup>
          <m:e>
            <m:r>
              <m:t>​</m:t>
            </m:r>
          </m:e>
          <m:sup>
            <m:r>
              <m:rPr>
                <m:sty m:val="p"/>
              </m:rPr>
              <m:t>∘</m:t>
            </m:r>
          </m:sup>
        </m:sSup>
      </m:oMath>
      <w:r>
        <w:t xml:space="preserve">. To ensure any transients from the onset of stimuli were masked, a mask stream was created using a series of 192-pixel (6</w:t>
      </w:r>
      <m:oMath>
        <m:sSup>
          <m:e>
            <m:r>
              <m:t>​</m:t>
            </m:r>
          </m:e>
          <m:sup>
            <m:r>
              <m:rPr>
                <m:sty m:val="p"/>
              </m:rPr>
              <m:t>∘</m:t>
            </m:r>
          </m:sup>
        </m:sSup>
      </m:oMath>
      <w:r>
        <w:t xml:space="preserve">)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ayout w:type="fixed"/>
        <w:tblLook w:firstRow="0" w:lastRow="0" w:firstColumn="0" w:lastColumn="0" w:noHBand="0" w:noVBand="0" w:val="0000"/>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unfamiliar target face and set of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ayout w:type="fixed"/>
        <w:tblLook w:firstRow="0" w:lastRow="0" w:firstColumn="0" w:lastColumn="0" w:noHBand="0" w:noVBand="0" w:val="0000"/>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2"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48"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residuals and no obvious outliers. Homogeneity of variance was assumed, as</w:t>
      </w:r>
      <w:r>
        <w:t xml:space="preserve"> </w:t>
      </w:r>
      <m:oMath>
        <m:sSub>
          <m:e>
            <m:r>
              <m:t>F</m:t>
            </m:r>
          </m:e>
          <m:sub>
            <m:r>
              <m:t>m</m:t>
            </m:r>
            <m:r>
              <m:t>a</m:t>
            </m:r>
            <m:r>
              <m:t>x</m:t>
            </m:r>
          </m:sub>
        </m:sSub>
      </m:oMath>
      <w:r>
        <w:t xml:space="preserve"> </w:t>
      </w:r>
      <w:r>
        <w:t xml:space="preserve">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with age as a continuous covariate was used to explore the effects of face familiarity on face recognition time. The analysis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ayout w:type="fixed"/>
        <w:tblLook w:firstRow="0" w:lastRow="0" w:firstColumn="0" w:lastColumn="0" w:noHBand="0" w:noVBand="0" w:val="0000"/>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1" w:name="exploratory-analyses"/>
    <w:p>
      <w:pPr>
        <w:pStyle w:val="Heading2"/>
      </w:pPr>
      <w:r>
        <w:t xml:space="preserve">Exploratory Analyses</w:t>
      </w:r>
    </w:p>
    <w:bookmarkStart w:id="54" w:name="exploring-the-age-interaction"/>
    <w:p>
      <w:pPr>
        <w:pStyle w:val="Heading3"/>
      </w:pPr>
      <w:r>
        <w:t xml:space="preserve">Exploring the age interaction</w:t>
      </w:r>
    </w:p>
    <w:p>
      <w:pPr>
        <w:pStyle w:val="FirstParagraph"/>
      </w:pPr>
      <w:r>
        <w:t xml:space="preserve">In this analysis, age was also included as a continuous covariate. A small but significant interaction was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ayout w:type="fixed"/>
        <w:tblLook w:firstRow="0" w:lastRow="0" w:firstColumn="0" w:lastColumn="0" w:noHBand="0" w:noVBand="0" w:val="0000"/>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sSubSup>
          <m:e>
            <m:r>
              <m:t>η</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sSubSup>
          <m:e>
            <m:r>
              <m:t>η</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ayout w:type="fixed"/>
        <w:tblLook w:firstRow="0" w:lastRow="0" w:firstColumn="0" w:lastColumn="0" w:noHBand="0" w:noVBand="0" w:val="0000"/>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8" w:name="ref-abudarham2019a"/>
    <w:p>
      <w:pPr>
        <w:pStyle w:val="Bibliography"/>
      </w:pPr>
      <w:r>
        <w:t xml:space="preserve">Abudarham, N., Shkiller, L., &amp; Yovel, G. (2019). Critical features for face recognition.</w:t>
      </w:r>
      <w:r>
        <w:t xml:space="preserve"> </w:t>
      </w:r>
      <w:r>
        <w:rPr>
          <w:i/>
          <w:iCs/>
        </w:rPr>
        <w:t xml:space="preserve">Cognition</w:t>
      </w:r>
      <w:r>
        <w:t xml:space="preserve">,</w:t>
      </w:r>
      <w:r>
        <w:t xml:space="preserve"> </w:t>
      </w:r>
      <w:r>
        <w:rPr>
          <w:i/>
          <w:iCs/>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
          <w:iCs/>
        </w:rPr>
        <w:t xml:space="preserve">Journal of Vision</w:t>
      </w:r>
      <w:r>
        <w:t xml:space="preserve">,</w:t>
      </w:r>
      <w:r>
        <w:t xml:space="preserve"> </w:t>
      </w:r>
      <w:r>
        <w:rPr>
          <w:i/>
          <w:iCs/>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
          <w:iCs/>
        </w:rPr>
        <w:t xml:space="preserve">The Journal of Cognitive Neuroscience</w:t>
      </w:r>
      <w:r>
        <w:t xml:space="preserve">,</w:t>
      </w:r>
      <w:r>
        <w:t xml:space="preserve"> </w:t>
      </w:r>
      <w:r>
        <w:rPr>
          <w:i/>
          <w:iCs/>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
          <w:iCs/>
        </w:rPr>
        <w:t xml:space="preserve">Biological Psychology</w:t>
      </w:r>
      <w:r>
        <w:t xml:space="preserve">,</w:t>
      </w:r>
      <w:r>
        <w:t xml:space="preserve"> </w:t>
      </w:r>
      <w:r>
        <w:rPr>
          <w:i/>
          <w:iCs/>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
          <w:iCs/>
        </w:rPr>
        <w:t xml:space="preserve">Cognition</w:t>
      </w:r>
      <w:r>
        <w:t xml:space="preserve">,</w:t>
      </w:r>
      <w:r>
        <w:t xml:space="preserve"> </w:t>
      </w:r>
      <w:r>
        <w:rPr>
          <w:i/>
          <w:iCs/>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
          <w:iCs/>
        </w:rPr>
        <w:t xml:space="preserve">Cognition</w:t>
      </w:r>
      <w:r>
        <w:t xml:space="preserve">,</w:t>
      </w:r>
      <w:r>
        <w:t xml:space="preserve"> </w:t>
      </w:r>
      <w:r>
        <w:rPr>
          <w:i/>
          <w:iCs/>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
          <w:iCs/>
        </w:rPr>
        <w:t xml:space="preserve">The Quarterly Journal of Experimental Psychology</w:t>
      </w:r>
      <w:r>
        <w:t xml:space="preserve">,</w:t>
      </w:r>
      <w:r>
        <w:t xml:space="preserve"> </w:t>
      </w:r>
      <w:r>
        <w:rPr>
          <w:i/>
          <w:iCs/>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
          <w:iCs/>
        </w:rPr>
        <w:t xml:space="preserve">Psychonomic Bulletin &amp; Review</w:t>
      </w:r>
      <w:r>
        <w:t xml:space="preserve">,</w:t>
      </w:r>
      <w:r>
        <w:t xml:space="preserve"> </w:t>
      </w:r>
      <w:r>
        <w:rPr>
          <w:i/>
          <w:iCs/>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
          <w:iCs/>
        </w:rPr>
        <w:t xml:space="preserve">The Quarterly Journal of Experimental Psychology</w:t>
      </w:r>
      <w:r>
        <w:t xml:space="preserve">,</w:t>
      </w:r>
      <w:r>
        <w:t xml:space="preserve"> </w:t>
      </w:r>
      <w:r>
        <w:rPr>
          <w:i/>
          <w:iCs/>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
          <w:iCs/>
        </w:rPr>
        <w:t xml:space="preserve">British Journal of Psychology</w:t>
      </w:r>
      <w:r>
        <w:t xml:space="preserve">,</w:t>
      </w:r>
      <w:r>
        <w:t xml:space="preserve"> </w:t>
      </w:r>
      <w:r>
        <w:rPr>
          <w:i/>
          <w:iCs/>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
          <w:iCs/>
        </w:rPr>
        <w:t xml:space="preserve">Perspectives on Psychological Science</w:t>
      </w:r>
      <w:r>
        <w:t xml:space="preserve">,</w:t>
      </w:r>
      <w:r>
        <w:t xml:space="preserve"> </w:t>
      </w:r>
      <w:r>
        <w:rPr>
          <w:i/>
          <w:iCs/>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
          <w:iCs/>
        </w:rPr>
        <w:t xml:space="preserve">Psychological Science</w:t>
      </w:r>
      <w:r>
        <w:t xml:space="preserve">,</w:t>
      </w:r>
      <w:r>
        <w:t xml:space="preserve"> </w:t>
      </w:r>
      <w:r>
        <w:rPr>
          <w:i/>
          <w:iCs/>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
          <w:iCs/>
        </w:rPr>
        <w:t xml:space="preserve">Journal of Cognitive Neuroscience</w:t>
      </w:r>
      <w:r>
        <w:t xml:space="preserve">,</w:t>
      </w:r>
      <w:r>
        <w:t xml:space="preserve"> </w:t>
      </w:r>
      <w:r>
        <w:rPr>
          <w:i/>
          <w:iCs/>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
          <w:iCs/>
        </w:rPr>
        <w:t xml:space="preserve">Neuroscience</w:t>
      </w:r>
      <w:r>
        <w:t xml:space="preserve">,</w:t>
      </w:r>
      <w:r>
        <w:t xml:space="preserve"> </w:t>
      </w:r>
      <w:r>
        <w:rPr>
          <w:i/>
          <w:iCs/>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
          <w:iCs/>
        </w:rPr>
        <w:t xml:space="preserve">Neuropsychologia</w:t>
      </w:r>
      <w:r>
        <w:t xml:space="preserve">,</w:t>
      </w:r>
      <w:r>
        <w:t xml:space="preserve"> </w:t>
      </w:r>
      <w:r>
        <w:rPr>
          <w:i/>
          <w:iCs/>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
          <w:iCs/>
        </w:rPr>
        <w:t xml:space="preserve">Visual Cognition</w:t>
      </w:r>
      <w:r>
        <w:t xml:space="preserve">,</w:t>
      </w:r>
      <w:r>
        <w:t xml:space="preserve"> </w:t>
      </w:r>
      <w:r>
        <w:rPr>
          <w:i/>
          <w:iCs/>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
          <w:iCs/>
        </w:rPr>
        <w:t xml:space="preserve">Social Neuroscience</w:t>
      </w:r>
      <w:r>
        <w:t xml:space="preserve">,</w:t>
      </w:r>
      <w:r>
        <w:t xml:space="preserve"> </w:t>
      </w:r>
      <w:r>
        <w:rPr>
          <w:i/>
          <w:iCs/>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
          <w:iCs/>
        </w:rPr>
        <w:t xml:space="preserve">NeuroImage</w:t>
      </w:r>
      <w:r>
        <w:t xml:space="preserve">,</w:t>
      </w:r>
      <w:r>
        <w:t xml:space="preserve"> </w:t>
      </w:r>
      <w:r>
        <w:rPr>
          <w:i/>
          <w:iCs/>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2019a"/>
    <w:p>
      <w:pPr>
        <w:pStyle w:val="Bibliography"/>
      </w:pPr>
      <w:r>
        <w:t xml:space="preserve">Dobs, K., Isik, L., Pantazis, D., &amp; Kanwisher, N. (2019). How face perception unfolds over time.</w:t>
      </w:r>
      <w:r>
        <w:t xml:space="preserve"> </w:t>
      </w:r>
      <w:r>
        <w:rPr>
          <w:i/>
          <w:iCs/>
        </w:rPr>
        <w:t xml:space="preserve">Nature Communications</w:t>
      </w:r>
      <w:r>
        <w:t xml:space="preserve">,</w:t>
      </w:r>
      <w:r>
        <w:t xml:space="preserve"> </w:t>
      </w:r>
      <w:r>
        <w:rPr>
          <w:i/>
          <w:iCs/>
        </w:rPr>
        <w:t xml:space="preserve">10</w:t>
      </w:r>
      <w:r>
        <w:t xml:space="preserve">(1), 1–10.</w:t>
      </w:r>
      <w:r>
        <w:t xml:space="preserve"> </w:t>
      </w:r>
      <w:hyperlink r:id="rId104">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
          <w:iCs/>
        </w:rPr>
        <w:t xml:space="preserve">The Quarterly Journal of Experimental Psychology</w:t>
      </w:r>
      <w:r>
        <w:t xml:space="preserve">,</w:t>
      </w:r>
      <w:r>
        <w:t xml:space="preserve"> </w:t>
      </w:r>
      <w:r>
        <w:rPr>
          <w:i/>
          <w:iCs/>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
          <w:iCs/>
        </w:rPr>
        <w:t xml:space="preserve">Behaviour Research Methods</w:t>
      </w:r>
      <w:r>
        <w:t xml:space="preserve">,</w:t>
      </w:r>
      <w:r>
        <w:t xml:space="preserve"> </w:t>
      </w:r>
      <w:r>
        <w:rPr>
          <w:i/>
          <w:iCs/>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
          <w:iCs/>
        </w:rPr>
        <w:t xml:space="preserve">Psychology &amp; Neuroscience</w:t>
      </w:r>
      <w:r>
        <w:t xml:space="preserve">,</w:t>
      </w:r>
      <w:r>
        <w:t xml:space="preserve"> </w:t>
      </w:r>
      <w:r>
        <w:rPr>
          <w:i/>
          <w:iCs/>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
          <w:iCs/>
        </w:rPr>
        <w:t xml:space="preserve">Behaviour Research Methods</w:t>
      </w:r>
      <w:r>
        <w:t xml:space="preserve">,</w:t>
      </w:r>
      <w:r>
        <w:t xml:space="preserve"> </w:t>
      </w:r>
      <w:r>
        <w:rPr>
          <w:i/>
          <w:iCs/>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
          <w:iCs/>
        </w:rPr>
        <w:t xml:space="preserve">Trends in Cognitive Sciences</w:t>
      </w:r>
      <w:r>
        <w:t xml:space="preserve">,</w:t>
      </w:r>
      <w:r>
        <w:t xml:space="preserve"> </w:t>
      </w:r>
      <w:r>
        <w:rPr>
          <w:i/>
          <w:iCs/>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
          <w:iCs/>
        </w:rPr>
        <w:t xml:space="preserve">Visual Cognition</w:t>
      </w:r>
      <w:r>
        <w:t xml:space="preserve">,</w:t>
      </w:r>
      <w:r>
        <w:t xml:space="preserve"> </w:t>
      </w:r>
      <w:r>
        <w:rPr>
          <w:i/>
          <w:iCs/>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
          <w:iCs/>
        </w:rPr>
        <w:t xml:space="preserve">Perception</w:t>
      </w:r>
      <w:r>
        <w:t xml:space="preserve">,</w:t>
      </w:r>
      <w:r>
        <w:t xml:space="preserve"> </w:t>
      </w:r>
      <w:r>
        <w:rPr>
          <w:i/>
          <w:iCs/>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
          <w:iCs/>
        </w:rPr>
        <w:t xml:space="preserve">B, Biological Sciences</w:t>
      </w:r>
      <w:r>
        <w:t xml:space="preserve">,</w:t>
      </w:r>
      <w:r>
        <w:t xml:space="preserve"> </w:t>
      </w:r>
      <w:r>
        <w:rPr>
          <w:i/>
          <w:iCs/>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
          <w:iCs/>
        </w:rPr>
        <w:t xml:space="preserve">Cognition</w:t>
      </w:r>
      <w:r>
        <w:t xml:space="preserve">,</w:t>
      </w:r>
      <w:r>
        <w:t xml:space="preserve"> </w:t>
      </w:r>
      <w:r>
        <w:rPr>
          <w:i/>
          <w:iCs/>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
          <w:iCs/>
        </w:rPr>
        <w:t xml:space="preserve">NeuroImage</w:t>
      </w:r>
      <w:r>
        <w:t xml:space="preserve">,</w:t>
      </w:r>
      <w:r>
        <w:t xml:space="preserve"> </w:t>
      </w:r>
      <w:r>
        <w:rPr>
          <w:i/>
          <w:iCs/>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
          <w:iCs/>
        </w:rPr>
        <w:t xml:space="preserve">The Quarterly Journal of Experimental Psychology</w:t>
      </w:r>
      <w:r>
        <w:t xml:space="preserve">,</w:t>
      </w:r>
      <w:r>
        <w:t xml:space="preserve"> </w:t>
      </w:r>
      <w:r>
        <w:rPr>
          <w:i/>
          <w:iCs/>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
          <w:iCs/>
        </w:rPr>
        <w:t xml:space="preserve">The Quarterly Journal of Experimental Psychology</w:t>
      </w:r>
      <w:r>
        <w:t xml:space="preserve">,</w:t>
      </w:r>
      <w:r>
        <w:t xml:space="preserve"> </w:t>
      </w:r>
      <w:r>
        <w:rPr>
          <w:i/>
          <w:iCs/>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
          <w:iCs/>
        </w:rPr>
        <w:t xml:space="preserve">European Journal of Neuroscience</w:t>
      </w:r>
      <w:r>
        <w:t xml:space="preserve">,</w:t>
      </w:r>
      <w:r>
        <w:t xml:space="preserve"> </w:t>
      </w:r>
      <w:r>
        <w:rPr>
          <w:i/>
          <w:iCs/>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
          <w:iCs/>
        </w:rPr>
        <w:t xml:space="preserve">Cognition</w:t>
      </w:r>
      <w:r>
        <w:t xml:space="preserve">,</w:t>
      </w:r>
      <w:r>
        <w:t xml:space="preserve"> </w:t>
      </w:r>
      <w:r>
        <w:rPr>
          <w:i/>
          <w:iCs/>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
          <w:iCs/>
        </w:rPr>
        <w:t xml:space="preserve">Psychological Review</w:t>
      </w:r>
      <w:r>
        <w:t xml:space="preserve">,</w:t>
      </w:r>
      <w:r>
        <w:t xml:space="preserve"> </w:t>
      </w:r>
      <w:r>
        <w:rPr>
          <w:i/>
          <w:iCs/>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
          <w:iCs/>
        </w:rPr>
        <w:t xml:space="preserve">I-Perception</w:t>
      </w:r>
      <w:r>
        <w:t xml:space="preserve">,</w:t>
      </w:r>
      <w:r>
        <w:t xml:space="preserve"> </w:t>
      </w:r>
      <w:r>
        <w:rPr>
          <w:i/>
          <w:iCs/>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
          <w:iCs/>
        </w:rPr>
        <w:t xml:space="preserve">Frontiers in Human Neuroscience</w:t>
      </w:r>
      <w:r>
        <w:t xml:space="preserve">,</w:t>
      </w:r>
      <w:r>
        <w:t xml:space="preserve"> </w:t>
      </w:r>
      <w:r>
        <w:rPr>
          <w:i/>
          <w:iCs/>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
          <w:iCs/>
        </w:rPr>
        <w:t xml:space="preserve">Scientific Reports</w:t>
      </w:r>
      <w:r>
        <w:t xml:space="preserve">,</w:t>
      </w:r>
      <w:r>
        <w:t xml:space="preserve"> </w:t>
      </w:r>
      <w:r>
        <w:rPr>
          <w:i/>
          <w:iCs/>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
          <w:iCs/>
        </w:rPr>
        <w:t xml:space="preserve">Experimental Psychology</w:t>
      </w:r>
      <w:r>
        <w:t xml:space="preserve">,</w:t>
      </w:r>
      <w:r>
        <w:t xml:space="preserve"> </w:t>
      </w:r>
      <w:r>
        <w:rPr>
          <w:i/>
          <w:iCs/>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
          <w:iCs/>
        </w:rPr>
        <w:t xml:space="preserve">Trends in Cognitive Sciences</w:t>
      </w:r>
      <w:r>
        <w:t xml:space="preserve">,</w:t>
      </w:r>
      <w:r>
        <w:t xml:space="preserve"> </w:t>
      </w:r>
      <w:r>
        <w:rPr>
          <w:i/>
          <w:iCs/>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
          <w:iCs/>
        </w:rPr>
        <w:t xml:space="preserve">Memory &amp; Cognition</w:t>
      </w:r>
      <w:r>
        <w:t xml:space="preserve">,</w:t>
      </w:r>
      <w:r>
        <w:t xml:space="preserve"> </w:t>
      </w:r>
      <w:r>
        <w:rPr>
          <w:i/>
          <w:iCs/>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
          <w:iCs/>
        </w:rPr>
        <w:t xml:space="preserve">Journal of Experimental Psychology: Applied</w:t>
      </w:r>
      <w:r>
        <w:t xml:space="preserve">,</w:t>
      </w:r>
      <w:r>
        <w:t xml:space="preserve"> </w:t>
      </w:r>
      <w:r>
        <w:rPr>
          <w:i/>
          <w:iCs/>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
          <w:iCs/>
        </w:rPr>
        <w:t xml:space="preserve">Scientific Reports</w:t>
      </w:r>
      <w:r>
        <w:t xml:space="preserve">,</w:t>
      </w:r>
      <w:r>
        <w:t xml:space="preserve"> </w:t>
      </w:r>
      <w:r>
        <w:rPr>
          <w:i/>
          <w:iCs/>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
          <w:iCs/>
        </w:rPr>
        <w:t xml:space="preserve">Social Cognitive and Affective Neuroscience</w:t>
      </w:r>
      <w:r>
        <w:t xml:space="preserve">,</w:t>
      </w:r>
      <w:r>
        <w:t xml:space="preserve"> </w:t>
      </w:r>
      <w:r>
        <w:rPr>
          <w:i/>
          <w:iCs/>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
          <w:iCs/>
        </w:rPr>
        <w:t xml:space="preserve">Journal of Experimental Psychology: Human Perception and Performance</w:t>
      </w:r>
      <w:r>
        <w:t xml:space="preserve">,</w:t>
      </w:r>
      <w:r>
        <w:t xml:space="preserve"> </w:t>
      </w:r>
      <w:r>
        <w:rPr>
          <w:i/>
          <w:iCs/>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
          <w:iCs/>
        </w:rPr>
        <w:t xml:space="preserve">PLoS One</w:t>
      </w:r>
      <w:r>
        <w:t xml:space="preserve">,</w:t>
      </w:r>
      <w:r>
        <w:t xml:space="preserve"> </w:t>
      </w:r>
      <w:r>
        <w:rPr>
          <w:i/>
          <w:iCs/>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
          <w:iCs/>
        </w:rPr>
        <w:t xml:space="preserve">Psychiatry Research</w:t>
      </w:r>
      <w:r>
        <w:t xml:space="preserve">,</w:t>
      </w:r>
      <w:r>
        <w:t xml:space="preserve"> </w:t>
      </w:r>
      <w:r>
        <w:rPr>
          <w:i/>
          <w:iCs/>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
          <w:iCs/>
        </w:rPr>
        <w:t xml:space="preserve">Vision Research</w:t>
      </w:r>
      <w:r>
        <w:t xml:space="preserve">,</w:t>
      </w:r>
      <w:r>
        <w:t xml:space="preserve"> </w:t>
      </w:r>
      <w:r>
        <w:rPr>
          <w:i/>
          <w:iCs/>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
          <w:iCs/>
        </w:rPr>
        <w:t xml:space="preserve">Journal of Vision</w:t>
      </w:r>
      <w:r>
        <w:t xml:space="preserve">,</w:t>
      </w:r>
      <w:r>
        <w:t xml:space="preserve"> </w:t>
      </w:r>
      <w:r>
        <w:rPr>
          <w:i/>
          <w:iCs/>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
          <w:iCs/>
        </w:rPr>
        <w:t xml:space="preserve">Neuropsychologia</w:t>
      </w:r>
      <w:r>
        <w:t xml:space="preserve">,</w:t>
      </w:r>
      <w:r>
        <w:t xml:space="preserve"> </w:t>
      </w:r>
      <w:r>
        <w:rPr>
          <w:i/>
          <w:iCs/>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
          <w:iCs/>
        </w:rPr>
        <w:t xml:space="preserve">NeuroImage</w:t>
      </w:r>
      <w:r>
        <w:t xml:space="preserve">,</w:t>
      </w:r>
      <w:r>
        <w:t xml:space="preserve"> </w:t>
      </w:r>
      <w:r>
        <w:rPr>
          <w:i/>
          <w:iCs/>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
          <w:iCs/>
        </w:rPr>
        <w:t xml:space="preserve">PeerJ</w:t>
      </w:r>
      <w:r>
        <w:t xml:space="preserve">,</w:t>
      </w:r>
      <w:r>
        <w:t xml:space="preserve"> </w:t>
      </w:r>
      <w:r>
        <w:rPr>
          <w:i/>
          <w:iCs/>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
          <w:iCs/>
        </w:rPr>
        <w:t xml:space="preserve">Perception</w:t>
      </w:r>
      <w:r>
        <w:t xml:space="preserve">,</w:t>
      </w:r>
      <w:r>
        <w:t xml:space="preserve"> </w:t>
      </w:r>
      <w:r>
        <w:rPr>
          <w:i/>
          <w:iCs/>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
          <w:iCs/>
        </w:rPr>
        <w:t xml:space="preserve">Visual Cognition</w:t>
      </w:r>
      <w:r>
        <w:t xml:space="preserve">,</w:t>
      </w:r>
      <w:r>
        <w:t xml:space="preserve"> </w:t>
      </w:r>
      <w:r>
        <w:rPr>
          <w:i/>
          <w:iCs/>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
          <w:iCs/>
        </w:rPr>
        <w:t xml:space="preserve">Vision Research</w:t>
      </w:r>
      <w:r>
        <w:t xml:space="preserve">,</w:t>
      </w:r>
      <w:r>
        <w:t xml:space="preserve"> </w:t>
      </w:r>
      <w:r>
        <w:rPr>
          <w:i/>
          <w:iCs/>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
          <w:iCs/>
        </w:rPr>
        <w:t xml:space="preserve">Psychological Bulletin</w:t>
      </w:r>
      <w:r>
        <w:t xml:space="preserve">,</w:t>
      </w:r>
      <w:r>
        <w:t xml:space="preserve"> </w:t>
      </w:r>
      <w:r>
        <w:rPr>
          <w:i/>
          <w:iCs/>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
          <w:iCs/>
        </w:rPr>
        <w:t xml:space="preserve">Frontiers in Psychology</w:t>
      </w:r>
      <w:r>
        <w:t xml:space="preserve">,</w:t>
      </w:r>
      <w:r>
        <w:t xml:space="preserve"> </w:t>
      </w:r>
      <w:r>
        <w:rPr>
          <w:i/>
          <w:iCs/>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
          <w:iCs/>
        </w:rPr>
        <w:t xml:space="preserve">Acta Psychologica</w:t>
      </w:r>
      <w:r>
        <w:t xml:space="preserve">,</w:t>
      </w:r>
      <w:r>
        <w:t xml:space="preserve"> </w:t>
      </w:r>
      <w:r>
        <w:rPr>
          <w:i/>
          <w:iCs/>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
          <w:iCs/>
        </w:rPr>
        <w:t xml:space="preserve">Vision Research</w:t>
      </w:r>
      <w:r>
        <w:t xml:space="preserve">,</w:t>
      </w:r>
      <w:r>
        <w:t xml:space="preserve"> </w:t>
      </w:r>
      <w:r>
        <w:rPr>
          <w:i/>
          <w:iCs/>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
          <w:iCs/>
        </w:rPr>
        <w:t xml:space="preserve">Cognition</w:t>
      </w:r>
      <w:r>
        <w:t xml:space="preserve">,</w:t>
      </w:r>
      <w:r>
        <w:t xml:space="preserve"> </w:t>
      </w:r>
      <w:r>
        <w:rPr>
          <w:i/>
          <w:iCs/>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
          <w:iCs/>
        </w:rPr>
        <w:t xml:space="preserve">Journal of Experimental Psychology: General</w:t>
      </w:r>
      <w:r>
        <w:t xml:space="preserve">,</w:t>
      </w:r>
      <w:r>
        <w:t xml:space="preserve"> </w:t>
      </w:r>
      <w:r>
        <w:rPr>
          <w:i/>
          <w:iCs/>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
          <w:iCs/>
        </w:rPr>
        <w:t xml:space="preserve">Journal of Experimental Psychology: Learning, Memory, and Cognition</w:t>
      </w:r>
      <w:r>
        <w:t xml:space="preserve">,</w:t>
      </w:r>
      <w:r>
        <w:t xml:space="preserve"> </w:t>
      </w:r>
      <w:r>
        <w:rPr>
          <w:i/>
          <w:iCs/>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
          <w:iCs/>
        </w:rPr>
        <w:t xml:space="preserve">Journal of Experimental Psychology: Human Perception and Performance</w:t>
      </w:r>
      <w:r>
        <w:t xml:space="preserve">,</w:t>
      </w:r>
      <w:r>
        <w:t xml:space="preserve"> </w:t>
      </w:r>
      <w:r>
        <w:rPr>
          <w:i/>
          <w:iCs/>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
          <w:iCs/>
        </w:rPr>
        <w:t xml:space="preserve">Vision Research</w:t>
      </w:r>
      <w:r>
        <w:t xml:space="preserve">,</w:t>
      </w:r>
      <w:r>
        <w:t xml:space="preserve"> </w:t>
      </w:r>
      <w:r>
        <w:rPr>
          <w:i/>
          <w:iCs/>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
          <w:iCs/>
        </w:rPr>
        <w:t xml:space="preserve">Journal of Neurophysiology</w:t>
      </w:r>
      <w:r>
        <w:t xml:space="preserve">,</w:t>
      </w:r>
      <w:r>
        <w:t xml:space="preserve"> </w:t>
      </w:r>
      <w:r>
        <w:rPr>
          <w:i/>
          <w:iCs/>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
          <w:iCs/>
        </w:rPr>
        <w:t xml:space="preserve">Journal of Experimental Psychology: Human Perception and Performance</w:t>
      </w:r>
      <w:r>
        <w:t xml:space="preserve">,</w:t>
      </w:r>
      <w:r>
        <w:t xml:space="preserve"> </w:t>
      </w:r>
      <w:r>
        <w:rPr>
          <w:i/>
          <w:iCs/>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
          <w:iCs/>
        </w:rPr>
        <w:t xml:space="preserve">Psychiatry Research</w:t>
      </w:r>
      <w:r>
        <w:t xml:space="preserve">,</w:t>
      </w:r>
      <w:r>
        <w:t xml:space="preserve"> </w:t>
      </w:r>
      <w:r>
        <w:rPr>
          <w:i/>
          <w:iCs/>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
          <w:iCs/>
        </w:rPr>
        <w:t xml:space="preserve">Royal Society Open Science</w:t>
      </w:r>
      <w:r>
        <w:t xml:space="preserve">,</w:t>
      </w:r>
      <w:r>
        <w:t xml:space="preserve"> </w:t>
      </w:r>
      <w:r>
        <w:rPr>
          <w:i/>
          <w:iCs/>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
          <w:iCs/>
        </w:rPr>
        <w:t xml:space="preserve">Gender &amp; Behaviour</w:t>
      </w:r>
      <w:r>
        <w:t xml:space="preserve">,</w:t>
      </w:r>
      <w:r>
        <w:t xml:space="preserve"> </w:t>
      </w:r>
      <w:r>
        <w:rPr>
          <w:i/>
          <w:iCs/>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
          <w:iCs/>
        </w:rPr>
        <w:t xml:space="preserve">British Journal of Psychology</w:t>
      </w:r>
      <w:r>
        <w:t xml:space="preserve">,</w:t>
      </w:r>
      <w:r>
        <w:t xml:space="preserve"> </w:t>
      </w:r>
      <w:r>
        <w:rPr>
          <w:i/>
          <w:iCs/>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
          <w:iCs/>
        </w:rPr>
        <w:t xml:space="preserve">Nature Communications</w:t>
      </w:r>
      <w:r>
        <w:t xml:space="preserve">,</w:t>
      </w:r>
      <w:r>
        <w:t xml:space="preserve"> </w:t>
      </w:r>
      <w:r>
        <w:rPr>
          <w:i/>
          <w:iCs/>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
          <w:iCs/>
        </w:rPr>
        <w:t xml:space="preserve">British Journal of Psychology</w:t>
      </w:r>
      <w:r>
        <w:t xml:space="preserve">,</w:t>
      </w:r>
      <w:r>
        <w:t xml:space="preserve"> </w:t>
      </w:r>
      <w:r>
        <w:rPr>
          <w:i/>
          <w:iCs/>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
          <w:iCs/>
        </w:rPr>
        <w:t xml:space="preserve">Nature Reviews Psychology</w:t>
      </w:r>
      <w:r>
        <w:t xml:space="preserve">,</w:t>
      </w:r>
      <w:r>
        <w:t xml:space="preserve"> </w:t>
      </w:r>
      <w:r>
        <w:rPr>
          <w:i/>
          <w:iCs/>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
          <w:iCs/>
        </w:rPr>
        <w:t xml:space="preserve">Journal of Experimental Psychology: Learning, Memory, and Cognition</w:t>
      </w:r>
      <w:r>
        <w:t xml:space="preserve">,</w:t>
      </w:r>
      <w:r>
        <w:t xml:space="preserve"> </w:t>
      </w:r>
      <w:r>
        <w:rPr>
          <w:i/>
          <w:iCs/>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
          <w:iCs/>
        </w:rPr>
        <w:t xml:space="preserve">Psychological Science</w:t>
      </w:r>
      <w:r>
        <w:t xml:space="preserve">,</w:t>
      </w:r>
      <w:r>
        <w:t xml:space="preserve"> </w:t>
      </w:r>
      <w:r>
        <w:rPr>
          <w:i/>
          <w:iCs/>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
          <w:iCs/>
        </w:rPr>
        <w:t xml:space="preserve">Journal of Vision</w:t>
      </w:r>
      <w:r>
        <w:t xml:space="preserve">,</w:t>
      </w:r>
      <w:r>
        <w:t xml:space="preserve"> </w:t>
      </w:r>
      <w:r>
        <w:rPr>
          <w:i/>
          <w:iCs/>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
          <w:iCs/>
        </w:rPr>
        <w:t xml:space="preserve">Trends in Cognitive Sciences</w:t>
      </w:r>
      <w:r>
        <w:t xml:space="preserve">,</w:t>
      </w:r>
      <w:r>
        <w:t xml:space="preserve"> </w:t>
      </w:r>
      <w:r>
        <w:rPr>
          <w:i/>
          <w:iCs/>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
          <w:iCs/>
        </w:rPr>
        <w:t xml:space="preserve">Royal Society Open Science</w:t>
      </w:r>
      <w:r>
        <w:t xml:space="preserve">,</w:t>
      </w:r>
      <w:r>
        <w:t xml:space="preserve"> </w:t>
      </w:r>
      <w:r>
        <w:rPr>
          <w:i/>
          <w:iCs/>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5"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5"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2024-10-09T01:42:14Z</dcterms:created>
  <dcterms:modified xsi:type="dcterms:W3CDTF">2024-10-09T01:42:14Z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