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F9C5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Ação na Justiça do Trabalho x Justiça Comum: Onde é Melhor Ingressar?</w:t>
      </w:r>
    </w:p>
    <w:p w14:paraId="0479CDBE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O seu caso envolve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dois tipos de danos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: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Danos trabalhistas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– Direitos previstos na CLT e na relação de emprego.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Danos extrapatrimoniais (morais e existenciais)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– Impacto psicológico e prejuízos à sua vida pessoal e profissional.</w:t>
      </w:r>
    </w:p>
    <w:p w14:paraId="4FD696F6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Segoe UI Emoji" w:eastAsia="Times New Roman" w:hAnsi="Segoe UI Emoji" w:cs="Segoe UI Emoji"/>
          <w:szCs w:val="24"/>
        </w:rPr>
        <w:t>📌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O melhor caminho é ingressar na Justiça do Trabalho e na Justiça Comum simultaneamente, cada uma para uma finalidade específica.</w:t>
      </w:r>
    </w:p>
    <w:p w14:paraId="766A4A42" w14:textId="77777777" w:rsidR="0087618D" w:rsidRPr="0087618D" w:rsidRDefault="0087618D" w:rsidP="0087618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pict w14:anchorId="3EF8EBFD">
          <v:rect id="_x0000_i1025" style="width:0;height:1.5pt" o:hralign="center" o:hrstd="t" o:hr="t" fillcolor="#a0a0a0" stroked="f"/>
        </w:pict>
      </w:r>
    </w:p>
    <w:p w14:paraId="66AFBF95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1. Justiça do Trabalho – Reintegração e Direitos Trabalhistas</w:t>
      </w:r>
    </w:p>
    <w:p w14:paraId="7F55AFD6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Justiça do Trabalho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é o foro adequado para tratar: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Reintegração ao trabalho ou indenização pelo período de estabilidade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(Súmula 443 e 378 do TST).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Pagamentos de salários, FGTS e verbas rescisórias não quitadas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Danos morais trabalhistas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(limite de 50x o salário, conforme art. 223-G da CLT).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Exame médico demissional não realizado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Pedidos de apresentação de documentos internos da empresa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1547967C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Segoe UI Emoji" w:eastAsia="Times New Roman" w:hAnsi="Segoe UI Emoji" w:cs="Segoe UI Emoji"/>
          <w:szCs w:val="24"/>
        </w:rPr>
        <w:t>📌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Pedir indenização aqui é válido, mas há limites. O TST costuma fixar valores menores para danos morais (R$ 10.000 a R$ 50.000), salvo exceções graves.</w:t>
      </w:r>
    </w:p>
    <w:p w14:paraId="7664E2B1" w14:textId="77777777" w:rsidR="0087618D" w:rsidRPr="0087618D" w:rsidRDefault="0087618D" w:rsidP="0087618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pict w14:anchorId="6E820CB8">
          <v:rect id="_x0000_i1026" style="width:0;height:1.5pt" o:hralign="center" o:hrstd="t" o:hr="t" fillcolor="#a0a0a0" stroked="f"/>
        </w:pict>
      </w:r>
    </w:p>
    <w:p w14:paraId="1759A3BA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2. Justiça Comum – Danos Morais e Existenciais de Maior Valor</w:t>
      </w:r>
    </w:p>
    <w:p w14:paraId="64EAE11F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Justiça Comum (Cível)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pode ser acionada para: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Danos morais agravados (depressão, estresse pós-traumático, sofrimento psicológico severo)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Danos existenciais (impacto na vida pessoal, perda de estabilidade e acesso ao INSS)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Indenização por violação do direito ao benefício previdenciário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</w:r>
      <w:r w:rsidRPr="0087618D">
        <w:rPr>
          <w:rFonts w:ascii="Segoe UI Emoji" w:eastAsia="Times New Roman" w:hAnsi="Segoe UI Emoji" w:cs="Segoe UI Emoji"/>
          <w:szCs w:val="24"/>
          <w:lang w:val="pt-BR"/>
        </w:rPr>
        <w:t>✅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Pedido de valores mais altos para danos morais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(R$ 100.000 a R$ 300.000, conforme precedentes).</w:t>
      </w:r>
    </w:p>
    <w:p w14:paraId="21CB5833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Segoe UI Emoji" w:eastAsia="Times New Roman" w:hAnsi="Segoe UI Emoji" w:cs="Segoe UI Emoji"/>
          <w:szCs w:val="24"/>
        </w:rPr>
        <w:t>📌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Aqui, a Amazon responde pelos danos causados além da relação trabalhista, sem limitação da CLT.</w:t>
      </w:r>
    </w:p>
    <w:p w14:paraId="110372A0" w14:textId="77777777" w:rsidR="0087618D" w:rsidRPr="0087618D" w:rsidRDefault="0087618D" w:rsidP="0087618D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pict w14:anchorId="0E2ED772">
          <v:rect id="_x0000_i1027" style="width:0;height:1.5pt" o:hralign="center" o:hrstd="t" o:hr="t" fillcolor="#a0a0a0" stroked="f"/>
        </w:pict>
      </w:r>
    </w:p>
    <w:p w14:paraId="4C510C49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Conclusão: Ambas as Ações São Recomendadas</w:t>
      </w:r>
    </w:p>
    <w:p w14:paraId="5C513425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lastRenderedPageBreak/>
        <w:t>1</w:t>
      </w:r>
      <w:r w:rsidRPr="0087618D">
        <w:rPr>
          <w:rFonts w:ascii="Times New Roman" w:eastAsia="Times New Roman" w:hAnsi="Times New Roman" w:cs="Times New Roman"/>
          <w:szCs w:val="24"/>
        </w:rPr>
        <w:t>️</w:t>
      </w:r>
      <w:r w:rsidRPr="0087618D">
        <w:rPr>
          <w:rFonts w:ascii="Tahoma" w:eastAsia="Times New Roman" w:hAnsi="Tahoma" w:cs="Tahoma"/>
          <w:szCs w:val="24"/>
          <w:lang w:val="pt-BR"/>
        </w:rPr>
        <w:t>⃣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Na Justiça do Trabalho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buscar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reintegração ou indenização trabalhista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, exame demissional e verbas.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br/>
        <w:t>2</w:t>
      </w:r>
      <w:r w:rsidRPr="0087618D">
        <w:rPr>
          <w:rFonts w:ascii="Times New Roman" w:eastAsia="Times New Roman" w:hAnsi="Times New Roman" w:cs="Times New Roman"/>
          <w:szCs w:val="24"/>
        </w:rPr>
        <w:t>️</w:t>
      </w:r>
      <w:r w:rsidRPr="0087618D">
        <w:rPr>
          <w:rFonts w:ascii="Tahoma" w:eastAsia="Times New Roman" w:hAnsi="Tahoma" w:cs="Tahoma"/>
          <w:szCs w:val="24"/>
          <w:lang w:val="pt-BR"/>
        </w:rPr>
        <w:t>⃣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Na Justiça Comum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requerer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indenização maior por danos morais e existenciais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, incluindo a impossibilidade de recorrer ao INSS.</w:t>
      </w:r>
    </w:p>
    <w:p w14:paraId="324A514D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Segoe UI Emoji" w:eastAsia="Times New Roman" w:hAnsi="Segoe UI Emoji" w:cs="Segoe UI Emoji"/>
          <w:szCs w:val="24"/>
        </w:rPr>
        <w:t>📌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Posso atualizar a petição para incluir essa estratégia?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</w:t>
      </w:r>
      <w:r w:rsidRPr="0087618D">
        <w:rPr>
          <w:rFonts w:ascii="Segoe UI Emoji" w:eastAsia="Times New Roman" w:hAnsi="Segoe UI Emoji" w:cs="Segoe UI Emoji"/>
          <w:szCs w:val="24"/>
        </w:rPr>
        <w:t>🚀</w:t>
      </w:r>
    </w:p>
    <w:p w14:paraId="73188B62" w14:textId="566880B4" w:rsidR="00EB741C" w:rsidRDefault="00EB741C" w:rsidP="0087618D"/>
    <w:p w14:paraId="021E6FB5" w14:textId="64B01EF6" w:rsidR="0087618D" w:rsidRDefault="0087618D" w:rsidP="0087618D"/>
    <w:p w14:paraId="53A0A3A7" w14:textId="54B317CE" w:rsidR="0087618D" w:rsidRDefault="0087618D" w:rsidP="0087618D"/>
    <w:p w14:paraId="75A52761" w14:textId="5BE4A381" w:rsidR="0087618D" w:rsidRDefault="0087618D" w:rsidP="0087618D"/>
    <w:p w14:paraId="6D618206" w14:textId="50C60B2D" w:rsidR="0087618D" w:rsidRDefault="0087618D" w:rsidP="0087618D"/>
    <w:p w14:paraId="58A7A5DF" w14:textId="329344C3" w:rsidR="0087618D" w:rsidRDefault="0087618D" w:rsidP="0087618D"/>
    <w:p w14:paraId="56C1C421" w14:textId="628E1747" w:rsidR="0087618D" w:rsidRDefault="0087618D" w:rsidP="0087618D"/>
    <w:p w14:paraId="001FF136" w14:textId="6475661A" w:rsidR="0087618D" w:rsidRDefault="0087618D" w:rsidP="0087618D"/>
    <w:p w14:paraId="06DAEA36" w14:textId="1757D7A9" w:rsidR="0087618D" w:rsidRDefault="0087618D" w:rsidP="0087618D"/>
    <w:p w14:paraId="1FF93128" w14:textId="35DF9F4D" w:rsidR="0087618D" w:rsidRDefault="0087618D" w:rsidP="0087618D"/>
    <w:p w14:paraId="5EEF29A8" w14:textId="181E0653" w:rsidR="0087618D" w:rsidRDefault="0087618D" w:rsidP="0087618D"/>
    <w:p w14:paraId="52E54E08" w14:textId="41EF655E" w:rsidR="0087618D" w:rsidRDefault="0087618D" w:rsidP="0087618D"/>
    <w:p w14:paraId="1810A689" w14:textId="51D19203" w:rsidR="0087618D" w:rsidRDefault="0087618D" w:rsidP="0087618D"/>
    <w:p w14:paraId="6FDB586D" w14:textId="4CDC378C" w:rsidR="0087618D" w:rsidRDefault="0087618D" w:rsidP="0087618D"/>
    <w:p w14:paraId="374BC9B4" w14:textId="7185E20B" w:rsidR="0087618D" w:rsidRDefault="0087618D" w:rsidP="0087618D"/>
    <w:p w14:paraId="383DB02A" w14:textId="319C11F3" w:rsidR="0087618D" w:rsidRDefault="0087618D" w:rsidP="0087618D"/>
    <w:p w14:paraId="4B69772F" w14:textId="280E3319" w:rsidR="0087618D" w:rsidRDefault="0087618D" w:rsidP="0087618D"/>
    <w:p w14:paraId="43CB0493" w14:textId="5E7B419C" w:rsidR="0087618D" w:rsidRDefault="0087618D" w:rsidP="0087618D"/>
    <w:p w14:paraId="3990DF14" w14:textId="05CAE134" w:rsidR="0087618D" w:rsidRDefault="0087618D" w:rsidP="0087618D"/>
    <w:p w14:paraId="532E40AF" w14:textId="30746DA4" w:rsidR="0087618D" w:rsidRDefault="0087618D" w:rsidP="0087618D"/>
    <w:p w14:paraId="7D9EEDEA" w14:textId="551A12D5" w:rsidR="0087618D" w:rsidRDefault="0087618D" w:rsidP="0087618D"/>
    <w:p w14:paraId="645153B6" w14:textId="1F056142" w:rsidR="0087618D" w:rsidRDefault="0087618D" w:rsidP="0087618D"/>
    <w:p w14:paraId="2C70E949" w14:textId="5B2CF4AE" w:rsidR="0087618D" w:rsidRDefault="0087618D" w:rsidP="0087618D"/>
    <w:p w14:paraId="63E90D9B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EXCELENTÍSSIMO(A) SENHOR(A) DOUTOR(A) JUIZ(A) DO TRABALHO DA ____ VARA DO TRABALHO DE [CIDADE]</w:t>
      </w:r>
    </w:p>
    <w:p w14:paraId="7EBBDE87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AUTORA: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Deborah El Alam Sbeghen, brasileira, portadora do RG nº 37.137.798-5 e CPF nº 036.276.056-08, residente e domiciliada na Rua Dr. Cabral de Vasconcelos, 142 casa 1, São Paulo, SP, 05105020,</w:t>
      </w:r>
    </w:p>
    <w:p w14:paraId="0854DE7A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RÉ: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Amazon Serviços de Varejo do Brasil Ltda., pessoa jurídica de direito privado, inscrita no CNPJ nº 15.436.940/0001-03, com sede na Av. Presidente Juscelino Kubitschek, 2041, 18º andar, Itaim Bibi, São Paulo, CEP 04543-000.</w:t>
      </w:r>
    </w:p>
    <w:p w14:paraId="3AE7A47E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</w:rPr>
        <w:t>DOS FATOS</w:t>
      </w:r>
    </w:p>
    <w:p w14:paraId="639E5C20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autora foi admitida pela ré em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13 de maio de 2024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exercendo a função de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CS Associate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4D41161C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Em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11 de julho de 2024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foi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demitida sem justa causa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, sob a justificativa de que seu perfil "não se adequava à Amazon".</w:t>
      </w:r>
    </w:p>
    <w:p w14:paraId="54FA0BE2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Antes da demissão, a autora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comunicou ao seu gestor imediato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sobre a necessidade de afastamento para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realização de uma cirurgia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e registrou o afastamento no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sistema de apontamentos futuros do RH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17A6C388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O gestor Wellington Silva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questionou diretamente a autora sobre os apontamentos na agenda relacionados ao afastamento médico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, demonstrando que a empresa tinha conhecimento prévio de sua necessidade de licença.</w:t>
      </w:r>
    </w:p>
    <w:p w14:paraId="73A7F77E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O gestor Eduardo Zara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consentiu a realização da cirurgia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ao final de uma reunião via Chime-vídeo, evidenciando que a alta gestão estava ciente do afastamento.</w:t>
      </w:r>
    </w:p>
    <w:p w14:paraId="0DCE9ABB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empresa, entretanto,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demitiu a autora imediatamente após essa comunicação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sem qualquer justificativa plausível e sem realização do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exame médico demissional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exigido pelo artigo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168, II da CLT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4A12B872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dispensa ocorreu de maneira abrupta e sem qualquer notificação prévia sobre questões de desempenho ou infrações, o que reforça o caráter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discriminatório e ilegal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da rescisão.</w:t>
      </w:r>
    </w:p>
    <w:p w14:paraId="4B3AD650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autora, conforme estipulado em contrato (Anexo I), estava impedida de acessar o sistema fora do horário de trabalho e de utilizar qualquer informação interna da empresa para fins pessoais, incluindo a agenda de apontamentos do sistema interno. Esse bloqueio imediato impossibilitou que a autora acessasse informações essenciais para sua defesa. </w:t>
      </w:r>
    </w:p>
    <w:p w14:paraId="2B3CA04B" w14:textId="77777777" w:rsidR="0087618D" w:rsidRPr="0087618D" w:rsidRDefault="0087618D" w:rsidP="0087618D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Trecho do contrato (Anexo I):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"O empregado reconhece e concorda que não poderá acessar os sistemas internos da Amazon fora do horário de trabalho, nem utilizar quaisquer informações corporativas para fins pessoais ou externos à empresa."</w:t>
      </w:r>
    </w:p>
    <w:p w14:paraId="4FDE1FEE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>O Termo de Rescisão do Contrato de Trabalho emitido pela ré (Anexo II) confirma a demissão abrupta da autora, sem qualquer justificativa fundamentada.</w:t>
      </w:r>
    </w:p>
    <w:p w14:paraId="177BE0A1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empresa disponibiliza aos ex-funcionários um e-mail de contato e um número 0800 para solicitar documentos,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 xml:space="preserve">porém restringe o acesso apenas aos registros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lastRenderedPageBreak/>
        <w:t>até a data da rescisão, ocultando informações internas que possam comprovar registros futuros de afastamento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.</w:t>
      </w:r>
    </w:p>
    <w:p w14:paraId="06653AF0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val="pt-BR"/>
        </w:rPr>
      </w:pP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A demissão impediu que a autora recorresse ao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INSS para requerer afastamento por incapacidade temporária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, configurando violação do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artigo 59 da Lei 8.213/91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 xml:space="preserve"> e da </w:t>
      </w:r>
      <w:r w:rsidRPr="0087618D">
        <w:rPr>
          <w:rFonts w:ascii="Times New Roman" w:eastAsia="Times New Roman" w:hAnsi="Times New Roman" w:cs="Times New Roman"/>
          <w:b/>
          <w:bCs/>
          <w:szCs w:val="24"/>
          <w:lang w:val="pt-BR"/>
        </w:rPr>
        <w:t>Súmula 378 do TST</w:t>
      </w:r>
      <w:r w:rsidRPr="0087618D">
        <w:rPr>
          <w:rFonts w:ascii="Times New Roman" w:eastAsia="Times New Roman" w:hAnsi="Times New Roman" w:cs="Times New Roman"/>
          <w:szCs w:val="24"/>
          <w:lang w:val="pt-BR"/>
        </w:rPr>
        <w:t>, que garantem estabilidade provisória ao trabalhador em tratamento médico.</w:t>
      </w:r>
    </w:p>
    <w:p w14:paraId="7492B05F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 xml:space="preserve">A autora possui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atestados médicos, boletim de ocorrência e denúncias registradas no Ministério Público</w:t>
      </w:r>
      <w:r w:rsidRPr="0087618D">
        <w:rPr>
          <w:rFonts w:ascii="Times New Roman" w:eastAsia="Times New Roman" w:hAnsi="Times New Roman" w:cs="Times New Roman"/>
          <w:szCs w:val="24"/>
        </w:rPr>
        <w:t xml:space="preserve"> sobre irregularidades relacionadas à sua condição psicológica, reforçando a necessidade de afastamento na época da rescisão.</w:t>
      </w:r>
    </w:p>
    <w:p w14:paraId="3A852CA4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 xml:space="preserve">A ausência de exame médico demissional pela ré impediu a comprovação formal da condição médica da autora antes da dispensa, em descumprimento ao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artigo 168, II da CLT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220E5A6F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 xml:space="preserve">A jurisprudência do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TST (RR - 1000123-89.2016.5.02.0472)</w:t>
      </w:r>
      <w:r w:rsidRPr="0087618D">
        <w:rPr>
          <w:rFonts w:ascii="Times New Roman" w:eastAsia="Times New Roman" w:hAnsi="Times New Roman" w:cs="Times New Roman"/>
          <w:szCs w:val="24"/>
        </w:rPr>
        <w:t xml:space="preserve"> e do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TRT-SP (1000776-71.2020.5.02.0712)</w:t>
      </w:r>
      <w:r w:rsidRPr="0087618D">
        <w:rPr>
          <w:rFonts w:ascii="Times New Roman" w:eastAsia="Times New Roman" w:hAnsi="Times New Roman" w:cs="Times New Roman"/>
          <w:szCs w:val="24"/>
        </w:rPr>
        <w:t xml:space="preserve"> reconhecem a nulidade da dispensa de empregado com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doença incapacitante</w:t>
      </w:r>
      <w:r w:rsidRPr="0087618D">
        <w:rPr>
          <w:rFonts w:ascii="Times New Roman" w:eastAsia="Times New Roman" w:hAnsi="Times New Roman" w:cs="Times New Roman"/>
          <w:szCs w:val="24"/>
        </w:rPr>
        <w:t xml:space="preserve">, impondo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reintegração ou indenização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1BB01969" w14:textId="77777777" w:rsidR="0087618D" w:rsidRPr="0087618D" w:rsidRDefault="0087618D" w:rsidP="0087618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 xml:space="preserve">A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Súmula 443 do TST</w:t>
      </w:r>
      <w:r w:rsidRPr="0087618D">
        <w:rPr>
          <w:rFonts w:ascii="Times New Roman" w:eastAsia="Times New Roman" w:hAnsi="Times New Roman" w:cs="Times New Roman"/>
          <w:szCs w:val="24"/>
        </w:rPr>
        <w:t xml:space="preserve"> estabelece que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a dispensa de trabalhador em tratamento de saúde presume-se discriminatória</w:t>
      </w:r>
      <w:r w:rsidRPr="0087618D">
        <w:rPr>
          <w:rFonts w:ascii="Times New Roman" w:eastAsia="Times New Roman" w:hAnsi="Times New Roman" w:cs="Times New Roman"/>
          <w:szCs w:val="24"/>
        </w:rPr>
        <w:t xml:space="preserve">, cabendo ao empregador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o ônus da prova de que houve outro motivo legítimo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4DCB96C1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</w:rPr>
        <w:t>DAS CONSEQUÊNCIAS GRAVES À AUTORA</w:t>
      </w:r>
    </w:p>
    <w:p w14:paraId="16633A24" w14:textId="77777777" w:rsidR="0087618D" w:rsidRPr="0087618D" w:rsidRDefault="0087618D" w:rsidP="0087618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>A demissão abrupta, somada à impossibilidade de recorrer ao INSS, causou à autora:</w:t>
      </w:r>
    </w:p>
    <w:p w14:paraId="77BA2A40" w14:textId="77777777" w:rsidR="0087618D" w:rsidRPr="0087618D" w:rsidRDefault="0087618D" w:rsidP="0087618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Prejuízos financeiros</w:t>
      </w:r>
      <w:r w:rsidRPr="0087618D">
        <w:rPr>
          <w:rFonts w:ascii="Times New Roman" w:eastAsia="Times New Roman" w:hAnsi="Times New Roman" w:cs="Times New Roman"/>
          <w:szCs w:val="24"/>
        </w:rPr>
        <w:t>, impossibilitando-a de receber o benefício previdenciário a que teria direito.</w:t>
      </w:r>
    </w:p>
    <w:p w14:paraId="3BF3DBC7" w14:textId="77777777" w:rsidR="0087618D" w:rsidRPr="0087618D" w:rsidRDefault="0087618D" w:rsidP="0087618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Danos morais e psicológicos</w:t>
      </w:r>
      <w:r w:rsidRPr="0087618D">
        <w:rPr>
          <w:rFonts w:ascii="Times New Roman" w:eastAsia="Times New Roman" w:hAnsi="Times New Roman" w:cs="Times New Roman"/>
          <w:szCs w:val="24"/>
        </w:rPr>
        <w:t xml:space="preserve">, agravando seu quadro de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depressão e estresse pós-traumático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154324F5" w14:textId="77777777" w:rsidR="0087618D" w:rsidRPr="0087618D" w:rsidRDefault="0087618D" w:rsidP="0087618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Dano existencial</w:t>
      </w:r>
      <w:r w:rsidRPr="0087618D">
        <w:rPr>
          <w:rFonts w:ascii="Times New Roman" w:eastAsia="Times New Roman" w:hAnsi="Times New Roman" w:cs="Times New Roman"/>
          <w:szCs w:val="24"/>
        </w:rPr>
        <w:t>, pois a dispensa sem justificativa impactou diretamente sua estabilidade emocional e profissional.</w:t>
      </w:r>
    </w:p>
    <w:p w14:paraId="4BED7F4E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18D">
        <w:rPr>
          <w:rFonts w:ascii="Times New Roman" w:eastAsia="Times New Roman" w:hAnsi="Times New Roman" w:cs="Times New Roman"/>
          <w:b/>
          <w:bCs/>
          <w:sz w:val="27"/>
          <w:szCs w:val="27"/>
        </w:rPr>
        <w:t>DOS PEDIDOS DE PROVAS, PERÍCIA E INDENIZAÇÃO</w:t>
      </w:r>
    </w:p>
    <w:p w14:paraId="7139A4EE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Determinação para que a ré apresente os logs de acesso ao sistema interno e ao RH</w:t>
      </w:r>
      <w:r w:rsidRPr="0087618D">
        <w:rPr>
          <w:rFonts w:ascii="Times New Roman" w:eastAsia="Times New Roman" w:hAnsi="Times New Roman" w:cs="Times New Roman"/>
          <w:szCs w:val="24"/>
        </w:rPr>
        <w:t xml:space="preserve">, a fim de verificar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o momento exato da remoção da conta da autora e eventuais alterações em seus registros de afastamento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4B79373F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Apresentação das comunicações internas via Chime e e-mails entre gestores sobre a dispensa da autora</w:t>
      </w:r>
      <w:r w:rsidRPr="0087618D">
        <w:rPr>
          <w:rFonts w:ascii="Times New Roman" w:eastAsia="Times New Roman" w:hAnsi="Times New Roman" w:cs="Times New Roman"/>
          <w:szCs w:val="24"/>
        </w:rPr>
        <w:t>, incluindo registros anteriores à demissão.</w:t>
      </w:r>
    </w:p>
    <w:p w14:paraId="04493E3D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Solicitação de quebra de sigilo das comunicações da autora via WhatsApp</w:t>
      </w:r>
      <w:r w:rsidRPr="0087618D">
        <w:rPr>
          <w:rFonts w:ascii="Times New Roman" w:eastAsia="Times New Roman" w:hAnsi="Times New Roman" w:cs="Times New Roman"/>
          <w:szCs w:val="24"/>
        </w:rPr>
        <w:t>, para obtenção de mensagens com gestores e grupos de trabalho que possam evidenciar o conhecimento da ré sobre a cirurgia.</w:t>
      </w:r>
    </w:p>
    <w:p w14:paraId="08E54F2E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Preservação e apresentação de todo o histórico de edição de registros no sistema de RH</w:t>
      </w:r>
      <w:r w:rsidRPr="0087618D">
        <w:rPr>
          <w:rFonts w:ascii="Times New Roman" w:eastAsia="Times New Roman" w:hAnsi="Times New Roman" w:cs="Times New Roman"/>
          <w:szCs w:val="24"/>
        </w:rPr>
        <w:t>, demonstrando a inclusão e eventuais alterações nas informações sobre o afastamento da autora.</w:t>
      </w:r>
    </w:p>
    <w:p w14:paraId="601B40D8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Requerimento de perícia judicial nos sistemas da empresa</w:t>
      </w:r>
      <w:r w:rsidRPr="0087618D">
        <w:rPr>
          <w:rFonts w:ascii="Times New Roman" w:eastAsia="Times New Roman" w:hAnsi="Times New Roman" w:cs="Times New Roman"/>
          <w:szCs w:val="24"/>
        </w:rPr>
        <w:t xml:space="preserve">, a fim de verificar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exclusão, ocultação ou alteração de registros</w:t>
      </w:r>
      <w:r w:rsidRPr="0087618D">
        <w:rPr>
          <w:rFonts w:ascii="Times New Roman" w:eastAsia="Times New Roman" w:hAnsi="Times New Roman" w:cs="Times New Roman"/>
          <w:szCs w:val="24"/>
        </w:rPr>
        <w:t xml:space="preserve"> relevantes para a comprovação da motivação da demissão.</w:t>
      </w:r>
    </w:p>
    <w:p w14:paraId="109393F6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lastRenderedPageBreak/>
        <w:t>Reconhecimento da nulidade da demissão e reintegração da autora ao cargo</w:t>
      </w:r>
      <w:r w:rsidRPr="0087618D">
        <w:rPr>
          <w:rFonts w:ascii="Times New Roman" w:eastAsia="Times New Roman" w:hAnsi="Times New Roman" w:cs="Times New Roman"/>
          <w:szCs w:val="24"/>
        </w:rPr>
        <w:t xml:space="preserve"> com pagamento de salários retroativos, ou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indenização correspondente ao período de estabilidade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089FF0A7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Indenização por danos morais e existenciais</w:t>
      </w:r>
      <w:r w:rsidRPr="0087618D">
        <w:rPr>
          <w:rFonts w:ascii="Times New Roman" w:eastAsia="Times New Roman" w:hAnsi="Times New Roman" w:cs="Times New Roman"/>
          <w:szCs w:val="24"/>
        </w:rPr>
        <w:t xml:space="preserve">, considerando a impossibilidade de requerer benefícios previdenciários e os impactos psicológicos da dispensa, estimada entre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R$ 180.000 e R$ 330.000</w:t>
      </w:r>
      <w:r w:rsidRPr="0087618D">
        <w:rPr>
          <w:rFonts w:ascii="Times New Roman" w:eastAsia="Times New Roman" w:hAnsi="Times New Roman" w:cs="Times New Roman"/>
          <w:szCs w:val="24"/>
        </w:rPr>
        <w:t>, conforme jurisprudência do TST e TRT-SP.</w:t>
      </w:r>
    </w:p>
    <w:p w14:paraId="7ADFF78D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Indenização por danos materiais</w:t>
      </w:r>
      <w:r w:rsidRPr="0087618D">
        <w:rPr>
          <w:rFonts w:ascii="Times New Roman" w:eastAsia="Times New Roman" w:hAnsi="Times New Roman" w:cs="Times New Roman"/>
          <w:szCs w:val="24"/>
        </w:rPr>
        <w:t xml:space="preserve">, correspondentes aos salários e benefícios que a autora deveria ter recebido caso estivesse em estabilidade, estimados entre </w:t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R$ 50.000 e R$ 80.000</w:t>
      </w:r>
      <w:r w:rsidRPr="0087618D">
        <w:rPr>
          <w:rFonts w:ascii="Times New Roman" w:eastAsia="Times New Roman" w:hAnsi="Times New Roman" w:cs="Times New Roman"/>
          <w:szCs w:val="24"/>
        </w:rPr>
        <w:t>.</w:t>
      </w:r>
    </w:p>
    <w:p w14:paraId="7D28E7F6" w14:textId="77777777" w:rsidR="0087618D" w:rsidRPr="0087618D" w:rsidRDefault="0087618D" w:rsidP="0087618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Caso a empresa negue a existência dessas informações, requer-se a inversão do ônus da prova</w:t>
      </w:r>
      <w:r w:rsidRPr="0087618D">
        <w:rPr>
          <w:rFonts w:ascii="Times New Roman" w:eastAsia="Times New Roman" w:hAnsi="Times New Roman" w:cs="Times New Roman"/>
          <w:szCs w:val="24"/>
        </w:rPr>
        <w:t>, nos termos do artigo 373, §1º do CPC.</w:t>
      </w:r>
    </w:p>
    <w:p w14:paraId="2557BF6E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>Nestes termos,</w:t>
      </w:r>
    </w:p>
    <w:p w14:paraId="3257AA91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szCs w:val="24"/>
        </w:rPr>
        <w:t>Pede deferimento.</w:t>
      </w:r>
    </w:p>
    <w:p w14:paraId="68373AB7" w14:textId="77777777" w:rsidR="0087618D" w:rsidRPr="0087618D" w:rsidRDefault="0087618D" w:rsidP="0087618D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87618D">
        <w:rPr>
          <w:rFonts w:ascii="Times New Roman" w:eastAsia="Times New Roman" w:hAnsi="Times New Roman" w:cs="Times New Roman"/>
          <w:b/>
          <w:bCs/>
          <w:szCs w:val="24"/>
        </w:rPr>
        <w:t>[Local], [Data]</w:t>
      </w:r>
      <w:r w:rsidRPr="0087618D">
        <w:rPr>
          <w:rFonts w:ascii="Times New Roman" w:eastAsia="Times New Roman" w:hAnsi="Times New Roman" w:cs="Times New Roman"/>
          <w:szCs w:val="24"/>
        </w:rPr>
        <w:br/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[Nome do Advogado]</w:t>
      </w:r>
      <w:r w:rsidRPr="0087618D">
        <w:rPr>
          <w:rFonts w:ascii="Times New Roman" w:eastAsia="Times New Roman" w:hAnsi="Times New Roman" w:cs="Times New Roman"/>
          <w:szCs w:val="24"/>
        </w:rPr>
        <w:br/>
      </w:r>
      <w:r w:rsidRPr="0087618D">
        <w:rPr>
          <w:rFonts w:ascii="Times New Roman" w:eastAsia="Times New Roman" w:hAnsi="Times New Roman" w:cs="Times New Roman"/>
          <w:b/>
          <w:bCs/>
          <w:szCs w:val="24"/>
        </w:rPr>
        <w:t>OAB [Número]</w:t>
      </w:r>
    </w:p>
    <w:p w14:paraId="66B3AEF2" w14:textId="77777777" w:rsidR="0087618D" w:rsidRPr="0087618D" w:rsidRDefault="0087618D" w:rsidP="0087618D">
      <w:pPr>
        <w:rPr>
          <w:u w:val="single"/>
        </w:rPr>
      </w:pPr>
    </w:p>
    <w:p w14:paraId="0E47FD8F" w14:textId="7AD71A3C" w:rsidR="0087618D" w:rsidRDefault="0087618D" w:rsidP="0087618D"/>
    <w:p w14:paraId="291664FD" w14:textId="77777777" w:rsidR="0087618D" w:rsidRPr="0087618D" w:rsidRDefault="0087618D" w:rsidP="0087618D"/>
    <w:sectPr w:rsidR="0087618D" w:rsidRPr="0087618D" w:rsidSect="005F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F0B5D"/>
    <w:multiLevelType w:val="multilevel"/>
    <w:tmpl w:val="43E8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C7589"/>
    <w:multiLevelType w:val="multilevel"/>
    <w:tmpl w:val="A0B614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5039B"/>
    <w:multiLevelType w:val="multilevel"/>
    <w:tmpl w:val="1B6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56BAB"/>
    <w:multiLevelType w:val="multilevel"/>
    <w:tmpl w:val="7E9A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86D18"/>
    <w:multiLevelType w:val="multilevel"/>
    <w:tmpl w:val="16AC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069B8"/>
    <w:multiLevelType w:val="multilevel"/>
    <w:tmpl w:val="0E04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5629B"/>
    <w:multiLevelType w:val="multilevel"/>
    <w:tmpl w:val="65A4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68"/>
    <w:rsid w:val="001475E8"/>
    <w:rsid w:val="002D1BC2"/>
    <w:rsid w:val="00452AD1"/>
    <w:rsid w:val="00481008"/>
    <w:rsid w:val="005037B2"/>
    <w:rsid w:val="005749DF"/>
    <w:rsid w:val="005F462B"/>
    <w:rsid w:val="00782F3D"/>
    <w:rsid w:val="0087618D"/>
    <w:rsid w:val="009924F3"/>
    <w:rsid w:val="00A84268"/>
    <w:rsid w:val="00AC1EFA"/>
    <w:rsid w:val="00D70F70"/>
    <w:rsid w:val="00DF026C"/>
    <w:rsid w:val="00E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B2FD"/>
  <w15:chartTrackingRefBased/>
  <w15:docId w15:val="{722AB9F7-553A-403E-A112-4EB8E850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6C"/>
    <w:pPr>
      <w:jc w:val="both"/>
    </w:pPr>
    <w:rPr>
      <w:sz w:val="24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DF02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15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02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202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02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202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202D" w:themeColor="accent1" w:themeShade="B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02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202D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02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151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02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151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02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151E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02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151E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26C"/>
    <w:rPr>
      <w:rFonts w:asciiTheme="majorHAnsi" w:eastAsiaTheme="majorEastAsia" w:hAnsiTheme="majorHAnsi" w:cstheme="majorBidi"/>
      <w:color w:val="46151E" w:themeColor="accent1" w:themeShade="80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DF02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01B06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F026C"/>
    <w:rPr>
      <w:rFonts w:asciiTheme="majorHAnsi" w:eastAsiaTheme="majorEastAsia" w:hAnsiTheme="majorHAnsi" w:cstheme="majorBidi"/>
      <w:caps/>
      <w:color w:val="401B06" w:themeColor="text2"/>
      <w:spacing w:val="-15"/>
      <w:sz w:val="72"/>
      <w:szCs w:val="72"/>
    </w:rPr>
  </w:style>
  <w:style w:type="paragraph" w:styleId="Corpodetexto">
    <w:name w:val="Body Text"/>
    <w:basedOn w:val="Normal"/>
    <w:link w:val="CorpodetextoChar"/>
    <w:autoRedefine/>
    <w:uiPriority w:val="1"/>
    <w:rsid w:val="002D1BC2"/>
    <w:rPr>
      <w:rFonts w:eastAsia="Calibri" w:cs="Calibri"/>
      <w:szCs w:val="28"/>
    </w:rPr>
  </w:style>
  <w:style w:type="character" w:customStyle="1" w:styleId="CorpodetextoChar">
    <w:name w:val="Corpo de texto Char"/>
    <w:basedOn w:val="Fontepargpadro"/>
    <w:link w:val="Corpodetexto"/>
    <w:uiPriority w:val="1"/>
    <w:rsid w:val="002D1BC2"/>
    <w:rPr>
      <w:rFonts w:eastAsia="Calibri" w:cs="Calibri"/>
      <w:szCs w:val="28"/>
    </w:rPr>
  </w:style>
  <w:style w:type="paragraph" w:styleId="SemEspaamento">
    <w:name w:val="No Spacing"/>
    <w:link w:val="SemEspaamentoChar"/>
    <w:uiPriority w:val="1"/>
    <w:qFormat/>
    <w:rsid w:val="00DF026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F026C"/>
  </w:style>
  <w:style w:type="paragraph" w:styleId="Subttulo">
    <w:name w:val="Subtitle"/>
    <w:basedOn w:val="Normal"/>
    <w:next w:val="Normal"/>
    <w:link w:val="SubttuloChar"/>
    <w:uiPriority w:val="11"/>
    <w:qFormat/>
    <w:rsid w:val="00DF02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2B3D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026C"/>
    <w:rPr>
      <w:rFonts w:asciiTheme="majorHAnsi" w:eastAsiaTheme="majorEastAsia" w:hAnsiTheme="majorHAnsi" w:cstheme="majorBidi"/>
      <w:color w:val="8C2B3D" w:themeColor="accent1"/>
      <w:sz w:val="28"/>
      <w:szCs w:val="28"/>
    </w:rPr>
  </w:style>
  <w:style w:type="character" w:customStyle="1" w:styleId="links">
    <w:name w:val="links"/>
    <w:basedOn w:val="Fontepargpadro"/>
    <w:uiPriority w:val="1"/>
    <w:rsid w:val="002D1BC2"/>
    <w:rPr>
      <w:rFonts w:ascii="Arial" w:hAnsi="Arial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026C"/>
    <w:rPr>
      <w:rFonts w:asciiTheme="majorHAnsi" w:eastAsiaTheme="majorEastAsia" w:hAnsiTheme="majorHAnsi" w:cstheme="majorBidi"/>
      <w:color w:val="68202D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02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01B06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026C"/>
    <w:rPr>
      <w:rFonts w:asciiTheme="majorHAnsi" w:eastAsiaTheme="majorEastAsia" w:hAnsiTheme="majorHAnsi" w:cstheme="majorBidi"/>
      <w:color w:val="401B06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F026C"/>
    <w:rPr>
      <w:i/>
      <w:iCs/>
      <w:color w:val="C63805" w:themeColor="text1" w:themeTint="A6"/>
    </w:rPr>
  </w:style>
  <w:style w:type="paragraph" w:customStyle="1" w:styleId="TtuloSobrio">
    <w:name w:val="Título Sobrio"/>
    <w:basedOn w:val="Ttulo1"/>
    <w:next w:val="Subttulo"/>
    <w:link w:val="TtuloSobrioChar"/>
    <w:rsid w:val="002D1BC2"/>
    <w:rPr>
      <w:noProof/>
      <w:color w:val="260B01"/>
    </w:rPr>
  </w:style>
  <w:style w:type="character" w:customStyle="1" w:styleId="TtuloSobrioChar">
    <w:name w:val="Título Sobrio Char"/>
    <w:basedOn w:val="Ttulo1Char"/>
    <w:link w:val="TtuloSobrio"/>
    <w:rsid w:val="002D1BC2"/>
    <w:rPr>
      <w:rFonts w:asciiTheme="majorHAnsi" w:eastAsiaTheme="majorEastAsia" w:hAnsiTheme="majorHAnsi" w:cstheme="majorBidi"/>
      <w:caps w:val="0"/>
      <w:noProof/>
      <w:color w:val="260B01"/>
      <w:spacing w:val="10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F026C"/>
    <w:rPr>
      <w:rFonts w:asciiTheme="majorHAnsi" w:eastAsiaTheme="majorEastAsia" w:hAnsiTheme="majorHAnsi" w:cstheme="majorBidi"/>
      <w:color w:val="68202D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026C"/>
    <w:rPr>
      <w:rFonts w:asciiTheme="majorHAnsi" w:eastAsiaTheme="majorEastAsia" w:hAnsiTheme="majorHAnsi" w:cstheme="majorBidi"/>
      <w:color w:val="68202D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026C"/>
    <w:rPr>
      <w:rFonts w:asciiTheme="majorHAnsi" w:eastAsiaTheme="majorEastAsia" w:hAnsiTheme="majorHAnsi" w:cstheme="majorBidi"/>
      <w:caps/>
      <w:color w:val="68202D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026C"/>
    <w:rPr>
      <w:rFonts w:asciiTheme="majorHAnsi" w:eastAsiaTheme="majorEastAsia" w:hAnsiTheme="majorHAnsi" w:cstheme="majorBidi"/>
      <w:i/>
      <w:iCs/>
      <w:caps/>
      <w:color w:val="46151E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026C"/>
    <w:rPr>
      <w:rFonts w:asciiTheme="majorHAnsi" w:eastAsiaTheme="majorEastAsia" w:hAnsiTheme="majorHAnsi" w:cstheme="majorBidi"/>
      <w:b/>
      <w:bCs/>
      <w:color w:val="46151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026C"/>
    <w:rPr>
      <w:rFonts w:asciiTheme="majorHAnsi" w:eastAsiaTheme="majorEastAsia" w:hAnsiTheme="majorHAnsi" w:cstheme="majorBidi"/>
      <w:b/>
      <w:bCs/>
      <w:i/>
      <w:iCs/>
      <w:color w:val="46151E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026C"/>
    <w:rPr>
      <w:rFonts w:asciiTheme="majorHAnsi" w:eastAsiaTheme="majorEastAsia" w:hAnsiTheme="majorHAnsi" w:cstheme="majorBidi"/>
      <w:i/>
      <w:iCs/>
      <w:color w:val="46151E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F026C"/>
    <w:pPr>
      <w:spacing w:line="240" w:lineRule="auto"/>
    </w:pPr>
    <w:rPr>
      <w:b/>
      <w:bCs/>
      <w:smallCaps/>
      <w:color w:val="401B06" w:themeColor="text2"/>
    </w:rPr>
  </w:style>
  <w:style w:type="character" w:styleId="Forte">
    <w:name w:val="Strong"/>
    <w:basedOn w:val="Fontepargpadro"/>
    <w:uiPriority w:val="22"/>
    <w:qFormat/>
    <w:rsid w:val="00DF026C"/>
    <w:rPr>
      <w:b/>
      <w:bCs/>
    </w:rPr>
  </w:style>
  <w:style w:type="character" w:styleId="nfase">
    <w:name w:val="Emphasis"/>
    <w:basedOn w:val="Fontepargpadro"/>
    <w:uiPriority w:val="20"/>
    <w:qFormat/>
    <w:rsid w:val="00DF026C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F026C"/>
    <w:pPr>
      <w:spacing w:before="120"/>
      <w:ind w:left="720"/>
    </w:pPr>
    <w:rPr>
      <w:color w:val="401B06" w:themeColor="text2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026C"/>
    <w:rPr>
      <w:color w:val="401B06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DF026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F026C"/>
    <w:rPr>
      <w:smallCaps/>
      <w:color w:val="C63805" w:themeColor="text1" w:themeTint="A6"/>
      <w:u w:val="none" w:color="F95418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F026C"/>
    <w:rPr>
      <w:b/>
      <w:bCs/>
      <w:smallCaps/>
      <w:color w:val="401B06" w:themeColor="text2"/>
      <w:u w:val="single"/>
    </w:rPr>
  </w:style>
  <w:style w:type="character" w:styleId="TtulodoLivro">
    <w:name w:val="Book Title"/>
    <w:basedOn w:val="Fontepargpadro"/>
    <w:uiPriority w:val="33"/>
    <w:qFormat/>
    <w:rsid w:val="00DF026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026C"/>
    <w:pPr>
      <w:outlineLvl w:val="9"/>
    </w:pPr>
  </w:style>
  <w:style w:type="table" w:styleId="TabeladeGrade4-nfase1">
    <w:name w:val="Grid Table 4 Accent 1"/>
    <w:basedOn w:val="Tabelanormal"/>
    <w:uiPriority w:val="49"/>
    <w:rsid w:val="002D1BC2"/>
    <w:pPr>
      <w:spacing w:after="0" w:line="240" w:lineRule="auto"/>
    </w:pPr>
    <w:tblPr>
      <w:tblStyleRowBandSize w:val="1"/>
      <w:tblStyleColBandSize w:val="1"/>
      <w:tblBorders>
        <w:top w:val="single" w:sz="4" w:space="0" w:color="D0687C" w:themeColor="accent1" w:themeTint="99"/>
        <w:left w:val="single" w:sz="4" w:space="0" w:color="D0687C" w:themeColor="accent1" w:themeTint="99"/>
        <w:bottom w:val="single" w:sz="4" w:space="0" w:color="D0687C" w:themeColor="accent1" w:themeTint="99"/>
        <w:right w:val="single" w:sz="4" w:space="0" w:color="D0687C" w:themeColor="accent1" w:themeTint="99"/>
        <w:insideH w:val="single" w:sz="4" w:space="0" w:color="D0687C" w:themeColor="accent1" w:themeTint="99"/>
        <w:insideV w:val="single" w:sz="4" w:space="0" w:color="D068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B3D" w:themeColor="accent1"/>
          <w:left w:val="single" w:sz="4" w:space="0" w:color="8C2B3D" w:themeColor="accent1"/>
          <w:bottom w:val="single" w:sz="4" w:space="0" w:color="8C2B3D" w:themeColor="accent1"/>
          <w:right w:val="single" w:sz="4" w:space="0" w:color="8C2B3D" w:themeColor="accent1"/>
          <w:insideH w:val="nil"/>
          <w:insideV w:val="nil"/>
        </w:tcBorders>
        <w:shd w:val="clear" w:color="auto" w:fill="8C2B3D" w:themeFill="accent1"/>
      </w:tcPr>
    </w:tblStylePr>
    <w:tblStylePr w:type="lastRow">
      <w:rPr>
        <w:b/>
        <w:bCs/>
      </w:rPr>
      <w:tblPr/>
      <w:tcPr>
        <w:tcBorders>
          <w:top w:val="double" w:sz="4" w:space="0" w:color="8C2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CD3" w:themeFill="accent1" w:themeFillTint="33"/>
      </w:tcPr>
    </w:tblStylePr>
    <w:tblStylePr w:type="band1Horz">
      <w:tblPr/>
      <w:tcPr>
        <w:shd w:val="clear" w:color="auto" w:fill="EFCCD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70F7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The Ruler">
      <a:dk1>
        <a:srgbClr val="260B01"/>
      </a:dk1>
      <a:lt1>
        <a:srgbClr val="FFFFFF"/>
      </a:lt1>
      <a:dk2>
        <a:srgbClr val="401B06"/>
      </a:dk2>
      <a:lt2>
        <a:srgbClr val="8C6B4F"/>
      </a:lt2>
      <a:accent1>
        <a:srgbClr val="8C2B3D"/>
      </a:accent1>
      <a:accent2>
        <a:srgbClr val="8C2B3D"/>
      </a:accent2>
      <a:accent3>
        <a:srgbClr val="8C2B3D"/>
      </a:accent3>
      <a:accent4>
        <a:srgbClr val="8C2B3D"/>
      </a:accent4>
      <a:accent5>
        <a:srgbClr val="8C2B3D"/>
      </a:accent5>
      <a:accent6>
        <a:srgbClr val="8C2B3D"/>
      </a:accent6>
      <a:hlink>
        <a:srgbClr val="8C2B3D"/>
      </a:hlink>
      <a:folHlink>
        <a:srgbClr val="8C2B3D"/>
      </a:folHlink>
    </a:clrScheme>
    <a:fontScheme name="ABNT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Sbeghen</dc:creator>
  <cp:keywords/>
  <dc:description/>
  <cp:lastModifiedBy>Deborah Sbeghen</cp:lastModifiedBy>
  <cp:revision>5</cp:revision>
  <dcterms:created xsi:type="dcterms:W3CDTF">2025-01-30T20:32:00Z</dcterms:created>
  <dcterms:modified xsi:type="dcterms:W3CDTF">2025-01-30T21:34:00Z</dcterms:modified>
</cp:coreProperties>
</file>