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D7046" w14:textId="0DAC5924" w:rsidR="00B07D55" w:rsidRDefault="0AED634E" w:rsidP="5041A8F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566"/>
        <w:jc w:val="both"/>
        <w:rPr>
          <w:rFonts w:eastAsiaTheme="minorEastAsia"/>
          <w:color w:val="000000" w:themeColor="text1"/>
          <w:sz w:val="28"/>
          <w:szCs w:val="28"/>
        </w:rPr>
      </w:pPr>
      <w:r w:rsidRPr="5041A8F0">
        <w:rPr>
          <w:rFonts w:eastAsiaTheme="minorEastAsia"/>
          <w:b/>
          <w:bCs/>
          <w:color w:val="000000" w:themeColor="text1"/>
          <w:sz w:val="28"/>
          <w:szCs w:val="28"/>
        </w:rPr>
        <w:t>Estratégias de Crescimento</w:t>
      </w:r>
    </w:p>
    <w:p w14:paraId="3410DCE1" w14:textId="4B4208D2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>Para alcançar nossos objetivos e consolidar nossa posição como líder no mercado de cultivo indoor, a estratégia de crescimento abrangente se concentra nas medidas abaixo:</w:t>
      </w:r>
    </w:p>
    <w:p w14:paraId="7D1EBBC3" w14:textId="4C70AAAE" w:rsidR="00B07D55" w:rsidRDefault="00B07D55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568A98A2" w14:textId="39BD720C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>Versatilidade da aplicação da linha de produtos:</w:t>
      </w:r>
    </w:p>
    <w:p w14:paraId="2888481E" w14:textId="7DF4B0A2" w:rsidR="00B07D55" w:rsidRPr="00FD22E6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  <w:highlight w:val="yellow"/>
        </w:rPr>
      </w:pPr>
      <w:r w:rsidRPr="00FD22E6">
        <w:rPr>
          <w:rFonts w:eastAsiaTheme="minorEastAsia"/>
          <w:color w:val="000000" w:themeColor="text1"/>
          <w:highlight w:val="yellow"/>
        </w:rPr>
        <w:t>Versatilidade em tamanhos para atender diferentes espaços;</w:t>
      </w:r>
    </w:p>
    <w:p w14:paraId="512E809F" w14:textId="1B245B28" w:rsidR="00B07D55" w:rsidRPr="00FD22E6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  <w:highlight w:val="yellow"/>
        </w:rPr>
      </w:pPr>
      <w:r w:rsidRPr="00FD22E6">
        <w:rPr>
          <w:rFonts w:eastAsiaTheme="minorEastAsia"/>
          <w:color w:val="000000" w:themeColor="text1"/>
          <w:highlight w:val="yellow"/>
        </w:rPr>
        <w:t>Design considerado para que possa ser utilizado em hortas verticais ou em superfícies;</w:t>
      </w:r>
    </w:p>
    <w:p w14:paraId="30ADD4EA" w14:textId="0BE86629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00FD22E6">
        <w:rPr>
          <w:rFonts w:eastAsiaTheme="minorEastAsia"/>
          <w:color w:val="000000" w:themeColor="text1"/>
          <w:highlight w:val="yellow"/>
        </w:rPr>
        <w:t>Possibilidade de compra modular para hortas verticais para que o cliente possa expandir seu plantio de forma gradual conforme sua necessidade e disponibilidade, aproveitando um mesmo sistema.</w:t>
      </w:r>
    </w:p>
    <w:p w14:paraId="162C70AC" w14:textId="127ADDA1" w:rsidR="00B07D55" w:rsidRDefault="00B07D55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427D6097" w14:textId="1A0F6FE6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>Marketing Digital e Redes Sociais:</w:t>
      </w:r>
    </w:p>
    <w:p w14:paraId="2A6D7668" w14:textId="5FA7BA26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Investir em campanhas de marketing digital direcionadas ao público-alvo </w:t>
      </w:r>
      <w:r w:rsidRPr="00FD22E6">
        <w:rPr>
          <w:rFonts w:eastAsiaTheme="minorEastAsia"/>
          <w:color w:val="000000" w:themeColor="text1"/>
          <w:highlight w:val="yellow"/>
        </w:rPr>
        <w:t>de jovens adultos</w:t>
      </w:r>
      <w:r w:rsidRPr="5041A8F0">
        <w:rPr>
          <w:rFonts w:eastAsiaTheme="minorEastAsia"/>
          <w:color w:val="000000" w:themeColor="text1"/>
        </w:rPr>
        <w:t>;</w:t>
      </w:r>
    </w:p>
    <w:p w14:paraId="695AFEE5" w14:textId="5F021575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Criar conteúdo engajador e informativo </w:t>
      </w:r>
      <w:r w:rsidRPr="00FD22E6">
        <w:rPr>
          <w:rFonts w:eastAsiaTheme="minorEastAsia"/>
          <w:color w:val="000000" w:themeColor="text1"/>
          <w:highlight w:val="yellow"/>
        </w:rPr>
        <w:t>sobre cultivo prático e sustentável;</w:t>
      </w:r>
    </w:p>
    <w:p w14:paraId="43F54794" w14:textId="1BFA7FB2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Investir em </w:t>
      </w:r>
      <w:r w:rsidRPr="00FD22E6">
        <w:rPr>
          <w:rFonts w:eastAsiaTheme="minorEastAsia"/>
          <w:color w:val="000000" w:themeColor="text1"/>
          <w:highlight w:val="yellow"/>
        </w:rPr>
        <w:t>influenciadores e criadores de conteúdo</w:t>
      </w:r>
      <w:r w:rsidRPr="5041A8F0">
        <w:rPr>
          <w:rFonts w:eastAsiaTheme="minorEastAsia"/>
          <w:color w:val="000000" w:themeColor="text1"/>
        </w:rPr>
        <w:t xml:space="preserve"> para fortalecimento da marca.</w:t>
      </w:r>
      <w:r w:rsidR="00FD22E6">
        <w:rPr>
          <w:rFonts w:eastAsiaTheme="minorEastAsia"/>
          <w:color w:val="000000" w:themeColor="text1"/>
        </w:rPr>
        <w:t xml:space="preserve"> </w:t>
      </w:r>
      <w:r w:rsidR="00FD22E6" w:rsidRPr="00FD22E6">
        <w:rPr>
          <w:rFonts w:eastAsiaTheme="minorEastAsia"/>
          <w:color w:val="FF0000"/>
        </w:rPr>
        <w:t>QUAIS?</w:t>
      </w:r>
      <w:r w:rsidR="00FD22E6">
        <w:rPr>
          <w:rFonts w:eastAsiaTheme="minorEastAsia"/>
          <w:color w:val="FF0000"/>
        </w:rPr>
        <w:t xml:space="preserve"> 1 EXEMPLO PELO MENOS. </w:t>
      </w:r>
    </w:p>
    <w:p w14:paraId="60C7D9E7" w14:textId="1E6C3201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>Parcerias Estratégicas:</w:t>
      </w:r>
    </w:p>
    <w:p w14:paraId="7928394B" w14:textId="44ED9E68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>Parcerias com construtoras para projetos de apartamentos que melhor acomodem o produto;</w:t>
      </w:r>
    </w:p>
    <w:p w14:paraId="6E1BC418" w14:textId="3B1C473C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>Parcerias com escolas para promover o ensino sobre plantio e cultivo de forma simplificada;</w:t>
      </w:r>
    </w:p>
    <w:p w14:paraId="0C963BDA" w14:textId="32F8BC33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>Parcerias com empresas para divulgação do produto para funcionários em campanhas voltadas à sustentabilidade.</w:t>
      </w:r>
    </w:p>
    <w:p w14:paraId="100915A6" w14:textId="50CB6435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>Inovação Contínua:</w:t>
      </w:r>
    </w:p>
    <w:p w14:paraId="113CC5FB" w14:textId="5BF95DD9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00FD22E6">
        <w:rPr>
          <w:rFonts w:eastAsiaTheme="minorEastAsia"/>
          <w:color w:val="000000" w:themeColor="text1"/>
          <w:highlight w:val="yellow"/>
        </w:rPr>
        <w:t>Melhorar o produto para ser mais eficiente, econômico e versátil;</w:t>
      </w:r>
    </w:p>
    <w:p w14:paraId="4960F389" w14:textId="6A6F1CAC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>Acompanhar dados de registro e estudos sobre cultivos dos produtos para melhorar o plantio;</w:t>
      </w:r>
    </w:p>
    <w:p w14:paraId="2CF32A30" w14:textId="32017765" w:rsidR="00B07D55" w:rsidRDefault="0AED634E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Buscar melhores maneiras de aumentar </w:t>
      </w:r>
      <w:r w:rsidRPr="00FD22E6">
        <w:rPr>
          <w:rFonts w:eastAsiaTheme="minorEastAsia"/>
          <w:color w:val="000000" w:themeColor="text1"/>
          <w:highlight w:val="yellow"/>
        </w:rPr>
        <w:t>a proximidade entre o usuário e seu plantio para uma experiência diferenciada de acompanhamento do desenvolvimento de sua horta.</w:t>
      </w:r>
      <w:r w:rsidR="00FD22E6">
        <w:rPr>
          <w:rFonts w:eastAsiaTheme="minorEastAsia"/>
          <w:color w:val="000000" w:themeColor="text1"/>
        </w:rPr>
        <w:t xml:space="preserve"> </w:t>
      </w:r>
      <w:r w:rsidR="00FD22E6" w:rsidRPr="00FD22E6">
        <w:rPr>
          <w:rFonts w:eastAsiaTheme="minorEastAsia"/>
          <w:color w:val="FF0000"/>
        </w:rPr>
        <w:t>(SERIA PELO APP MESMO?)</w:t>
      </w:r>
    </w:p>
    <w:p w14:paraId="4995F046" w14:textId="0BF1B985" w:rsidR="00B07D55" w:rsidRDefault="00B07D55" w:rsidP="5041A8F0">
      <w:pPr>
        <w:spacing w:after="240"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5C92D672" w14:textId="75C885D2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  <w:sz w:val="28"/>
          <w:szCs w:val="28"/>
        </w:rPr>
      </w:pPr>
      <w:r w:rsidRPr="5041A8F0">
        <w:rPr>
          <w:rFonts w:eastAsiaTheme="minorEastAsia"/>
          <w:b/>
          <w:bCs/>
          <w:color w:val="000000" w:themeColor="text1"/>
          <w:sz w:val="28"/>
          <w:szCs w:val="28"/>
        </w:rPr>
        <w:lastRenderedPageBreak/>
        <w:t>1.6 Diferencial Competitivo da Empresa em Análise dos Concorrentes</w:t>
      </w:r>
    </w:p>
    <w:p w14:paraId="5E97DBA5" w14:textId="201758BC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 se destaca no mercado de cultivo doméstico não apenas por sua fabricação própria, que garante controle sobre qualidade e design, </w:t>
      </w:r>
      <w:r w:rsidRPr="009F73E2">
        <w:rPr>
          <w:rFonts w:eastAsiaTheme="minorEastAsia"/>
          <w:color w:val="000000" w:themeColor="text1"/>
          <w:highlight w:val="green"/>
        </w:rPr>
        <w:t>oferecendo informações via aplicativo</w:t>
      </w:r>
      <w:r w:rsidRPr="5041A8F0">
        <w:rPr>
          <w:rFonts w:eastAsiaTheme="minorEastAsia"/>
          <w:color w:val="000000" w:themeColor="text1"/>
        </w:rPr>
        <w:t xml:space="preserve"> e </w:t>
      </w:r>
      <w:r w:rsidRPr="009F73E2">
        <w:rPr>
          <w:rFonts w:eastAsiaTheme="minorEastAsia"/>
          <w:color w:val="000000" w:themeColor="text1"/>
          <w:highlight w:val="green"/>
        </w:rPr>
        <w:t>também proporcionando praticidade aos clientes</w:t>
      </w:r>
      <w:r w:rsidRPr="5041A8F0">
        <w:rPr>
          <w:rFonts w:eastAsiaTheme="minorEastAsia"/>
          <w:color w:val="000000" w:themeColor="text1"/>
        </w:rPr>
        <w:t xml:space="preserve">, mas também </w:t>
      </w:r>
      <w:r w:rsidRPr="009F73E2">
        <w:rPr>
          <w:rFonts w:eastAsiaTheme="minorEastAsia"/>
          <w:color w:val="000000" w:themeColor="text1"/>
          <w:highlight w:val="green"/>
        </w:rPr>
        <w:t>por incluir o carregamento a bateria como um diferencial competitivo</w:t>
      </w:r>
      <w:r w:rsidRPr="5041A8F0">
        <w:rPr>
          <w:rFonts w:eastAsiaTheme="minorEastAsia"/>
          <w:color w:val="000000" w:themeColor="text1"/>
        </w:rPr>
        <w:t xml:space="preserve">. Isso proporciona </w:t>
      </w:r>
      <w:r w:rsidRPr="009F73E2">
        <w:rPr>
          <w:rFonts w:eastAsiaTheme="minorEastAsia"/>
          <w:color w:val="000000" w:themeColor="text1"/>
          <w:highlight w:val="green"/>
        </w:rPr>
        <w:t>praticidade</w:t>
      </w:r>
      <w:r w:rsidRPr="5041A8F0">
        <w:rPr>
          <w:rFonts w:eastAsiaTheme="minorEastAsia"/>
          <w:color w:val="000000" w:themeColor="text1"/>
        </w:rPr>
        <w:t xml:space="preserve"> aos clientes, permitindo que cultivem suas plantas </w:t>
      </w:r>
      <w:r w:rsidRPr="009F73E2">
        <w:rPr>
          <w:rFonts w:eastAsiaTheme="minorEastAsia"/>
          <w:color w:val="000000" w:themeColor="text1"/>
          <w:highlight w:val="green"/>
        </w:rPr>
        <w:t>sem depender exclusivamente de uma fonte de energia elétrica fixa.</w:t>
      </w:r>
      <w:r w:rsidRPr="5041A8F0">
        <w:rPr>
          <w:rFonts w:eastAsiaTheme="minorEastAsia"/>
          <w:color w:val="000000" w:themeColor="text1"/>
        </w:rPr>
        <w:t xml:space="preserve"> Essa característica fortalece a proposta de valor da empresa, que já é reconhecida por sua </w:t>
      </w:r>
      <w:r w:rsidRPr="009F73E2">
        <w:rPr>
          <w:rFonts w:eastAsiaTheme="minorEastAsia"/>
          <w:color w:val="000000" w:themeColor="text1"/>
          <w:highlight w:val="green"/>
        </w:rPr>
        <w:t>ênfase em sustentabilidade e consciência ambiental</w:t>
      </w:r>
      <w:r w:rsidRPr="5041A8F0">
        <w:rPr>
          <w:rFonts w:eastAsiaTheme="minorEastAsia"/>
          <w:color w:val="000000" w:themeColor="text1"/>
        </w:rPr>
        <w:t>, aliada ao status de empresa brasileira.</w:t>
      </w:r>
      <w:r w:rsidR="009F73E2">
        <w:rPr>
          <w:rFonts w:eastAsiaTheme="minorEastAsia"/>
          <w:color w:val="000000" w:themeColor="text1"/>
        </w:rPr>
        <w:t xml:space="preserve"> </w:t>
      </w:r>
      <w:r w:rsidR="009F73E2" w:rsidRPr="009F73E2">
        <w:rPr>
          <w:rFonts w:eastAsiaTheme="minorEastAsia"/>
          <w:color w:val="FF0000"/>
        </w:rPr>
        <w:t xml:space="preserve">(MKT 3.0 + </w:t>
      </w:r>
      <w:proofErr w:type="spellStart"/>
      <w:r w:rsidR="009F73E2" w:rsidRPr="009F73E2">
        <w:rPr>
          <w:rFonts w:eastAsiaTheme="minorEastAsia"/>
          <w:color w:val="FF0000"/>
        </w:rPr>
        <w:t>Mkt</w:t>
      </w:r>
      <w:proofErr w:type="spellEnd"/>
      <w:r w:rsidR="009F73E2" w:rsidRPr="009F73E2">
        <w:rPr>
          <w:rFonts w:eastAsiaTheme="minorEastAsia"/>
          <w:color w:val="FF0000"/>
        </w:rPr>
        <w:t xml:space="preserve"> 4.0)</w:t>
      </w:r>
    </w:p>
    <w:p w14:paraId="5A2F7457" w14:textId="5D2467B8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Sua forte ênfase em sustentabilidade e consciência ambiental, aliada ao status de empresa brasileira, contribui para a preferência </w:t>
      </w:r>
      <w:r w:rsidRPr="009F73E2">
        <w:rPr>
          <w:rFonts w:eastAsiaTheme="minorEastAsia"/>
          <w:color w:val="000000" w:themeColor="text1"/>
          <w:highlight w:val="green"/>
        </w:rPr>
        <w:t>por consumidores preocupados com o meio ambiente e adeptos do apoio a negócios locais.</w:t>
      </w:r>
      <w:r w:rsidRPr="5041A8F0">
        <w:rPr>
          <w:rFonts w:eastAsiaTheme="minorEastAsia"/>
          <w:color w:val="000000" w:themeColor="text1"/>
        </w:rPr>
        <w:t xml:space="preserve"> A empresa também </w:t>
      </w:r>
      <w:r w:rsidRPr="009F73E2">
        <w:rPr>
          <w:rFonts w:eastAsiaTheme="minorEastAsia"/>
          <w:color w:val="000000" w:themeColor="text1"/>
          <w:highlight w:val="green"/>
        </w:rPr>
        <w:t>se diferencia por sua linha de produtos inovadores, como vasos automatizados e sistemas de cultivo vertical, atraindo consumidores em busca de soluções criativas.</w:t>
      </w:r>
    </w:p>
    <w:p w14:paraId="6433854B" w14:textId="363F35FE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Ao capitalizar essas vantagens competitivas e continuar a investir em inovação e diferenciação, 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 está bem posicionada para se destacar no mercado e sustentar uma vantagem competitiva duradoura.</w:t>
      </w:r>
    </w:p>
    <w:p w14:paraId="57ECFF76" w14:textId="56324648" w:rsidR="00B07D55" w:rsidRDefault="00B07D55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571F9E86" w14:textId="6D909648" w:rsidR="00B07D55" w:rsidRDefault="00B07D55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6"/>
        <w:gridCol w:w="1786"/>
        <w:gridCol w:w="1980"/>
        <w:gridCol w:w="1731"/>
        <w:gridCol w:w="1731"/>
      </w:tblGrid>
      <w:tr w:rsidR="004925DD" w14:paraId="1290CC8F" w14:textId="77777777" w:rsidTr="5041A8F0">
        <w:trPr>
          <w:trHeight w:val="300"/>
        </w:trPr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379A24" w14:textId="2F682D9C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  <w:b/>
                <w:bCs/>
              </w:rPr>
              <w:t>Concorrente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E17BA9" w14:textId="290CD3A0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  <w:b/>
                <w:bCs/>
              </w:rPr>
              <w:t>Fabricação própria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CEBEB8" w14:textId="793BE1C3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  <w:b/>
                <w:bCs/>
              </w:rPr>
              <w:t>Informações por app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AB32AB" w14:textId="64BCC769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  <w:b/>
                <w:bCs/>
              </w:rPr>
              <w:t>Alimentado por Bateria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6D80DB" w14:textId="6039B0E4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  <w:b/>
                <w:bCs/>
              </w:rPr>
              <w:t>Empresa brasileira</w:t>
            </w:r>
          </w:p>
        </w:tc>
      </w:tr>
      <w:tr w:rsidR="004925DD" w14:paraId="7921780C" w14:textId="77777777" w:rsidTr="5041A8F0">
        <w:trPr>
          <w:trHeight w:val="300"/>
        </w:trPr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21400C" w14:textId="71B4EE2B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proofErr w:type="spellStart"/>
            <w:r w:rsidRPr="5041A8F0">
              <w:rPr>
                <w:rFonts w:eastAsiaTheme="minorEastAsia"/>
              </w:rPr>
              <w:t>PlanTech</w:t>
            </w:r>
            <w:proofErr w:type="spellEnd"/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CB0064" w14:textId="1946C7F5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9B8B6" w14:textId="20DAA523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A79B74" w14:textId="0D0E8F6C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71C310" w14:textId="350DD31F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</w:tr>
      <w:tr w:rsidR="004925DD" w14:paraId="630A4E11" w14:textId="77777777" w:rsidTr="5041A8F0">
        <w:trPr>
          <w:trHeight w:val="300"/>
        </w:trPr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A19C18" w14:textId="6014FCDA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Brota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AAF12" w14:textId="58E0D730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3B09C4" w14:textId="69839FD5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BD604C" w14:textId="024520C6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97C47" w14:textId="1F2A1EDF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</w:tr>
      <w:tr w:rsidR="004925DD" w14:paraId="738DA4D3" w14:textId="77777777" w:rsidTr="5041A8F0">
        <w:trPr>
          <w:trHeight w:val="300"/>
        </w:trPr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B2F86" w14:textId="66493F52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Bosch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154EE" w14:textId="03C22C92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5D257" w14:textId="6F1D3CB0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10884" w14:textId="4150D8D8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5CAF08" w14:textId="0FCEF050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</w:tr>
      <w:tr w:rsidR="004925DD" w14:paraId="7D3B61DB" w14:textId="77777777" w:rsidTr="5041A8F0">
        <w:trPr>
          <w:trHeight w:val="300"/>
        </w:trPr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EAC8E3" w14:textId="0C17F988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 xml:space="preserve">Click </w:t>
            </w:r>
            <w:proofErr w:type="spellStart"/>
            <w:r w:rsidRPr="5041A8F0">
              <w:rPr>
                <w:rFonts w:eastAsiaTheme="minorEastAsia"/>
              </w:rPr>
              <w:t>and</w:t>
            </w:r>
            <w:proofErr w:type="spellEnd"/>
            <w:r w:rsidRPr="5041A8F0">
              <w:rPr>
                <w:rFonts w:eastAsiaTheme="minorEastAsia"/>
              </w:rPr>
              <w:t xml:space="preserve"> Grow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BE4E2A" w14:textId="6C4A8A72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8AD65" w14:textId="45A2C2FC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279EE" w14:textId="27A4CF40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6D18C0" w14:textId="12A59C92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</w:tr>
      <w:tr w:rsidR="004925DD" w14:paraId="74CF41F5" w14:textId="77777777" w:rsidTr="5041A8F0">
        <w:trPr>
          <w:trHeight w:val="300"/>
        </w:trPr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CDE06E" w14:textId="79EF97EB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Mercado Livre</w:t>
            </w:r>
          </w:p>
        </w:tc>
        <w:tc>
          <w:tcPr>
            <w:tcW w:w="17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944926" w14:textId="087569E5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A7E22E" w14:textId="5AC603C5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76F95" w14:textId="486E487B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Não</w:t>
            </w:r>
          </w:p>
        </w:tc>
        <w:tc>
          <w:tcPr>
            <w:tcW w:w="17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2F521" w14:textId="7388A4CE" w:rsidR="004925DD" w:rsidRDefault="004925DD" w:rsidP="5041A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Theme="minorEastAsia"/>
              </w:rPr>
            </w:pPr>
            <w:r w:rsidRPr="5041A8F0">
              <w:rPr>
                <w:rFonts w:eastAsiaTheme="minorEastAsia"/>
              </w:rPr>
              <w:t>Sim</w:t>
            </w:r>
          </w:p>
        </w:tc>
      </w:tr>
    </w:tbl>
    <w:p w14:paraId="4D20CF58" w14:textId="6007D118" w:rsidR="00B07D55" w:rsidRDefault="0AED634E" w:rsidP="5041A8F0">
      <w:pPr>
        <w:keepNext/>
        <w:spacing w:after="200" w:line="240" w:lineRule="auto"/>
        <w:ind w:left="-566"/>
        <w:jc w:val="center"/>
        <w:rPr>
          <w:rFonts w:eastAsiaTheme="minorEastAsia"/>
          <w:color w:val="000000" w:themeColor="text1"/>
          <w:sz w:val="18"/>
          <w:szCs w:val="18"/>
        </w:rPr>
      </w:pPr>
      <w:r w:rsidRPr="5041A8F0">
        <w:rPr>
          <w:rFonts w:eastAsiaTheme="minorEastAsia"/>
          <w:i/>
          <w:iCs/>
          <w:color w:val="000000" w:themeColor="text1"/>
          <w:sz w:val="18"/>
          <w:szCs w:val="18"/>
        </w:rPr>
        <w:t>Tabela 1 – Mapeamento da Concorrência</w:t>
      </w:r>
    </w:p>
    <w:p w14:paraId="0F1A95D6" w14:textId="6A77BB44" w:rsidR="00B07D55" w:rsidRDefault="00B07D55" w:rsidP="5041A8F0">
      <w:pPr>
        <w:ind w:left="-566"/>
        <w:jc w:val="both"/>
        <w:rPr>
          <w:rFonts w:eastAsiaTheme="minorEastAsia"/>
          <w:color w:val="000000" w:themeColor="text1"/>
          <w:sz w:val="28"/>
          <w:szCs w:val="28"/>
        </w:rPr>
      </w:pPr>
    </w:p>
    <w:p w14:paraId="1FD5A5EA" w14:textId="0FB1FA79" w:rsidR="00B07D55" w:rsidRDefault="0AED634E" w:rsidP="5041A8F0">
      <w:pPr>
        <w:ind w:left="-566"/>
        <w:jc w:val="both"/>
        <w:rPr>
          <w:rFonts w:eastAsiaTheme="minorEastAsia"/>
          <w:color w:val="000000" w:themeColor="text1"/>
          <w:sz w:val="28"/>
          <w:szCs w:val="28"/>
        </w:rPr>
      </w:pPr>
      <w:r w:rsidRPr="5041A8F0">
        <w:rPr>
          <w:rFonts w:eastAsiaTheme="minorEastAsia"/>
          <w:b/>
          <w:bCs/>
          <w:color w:val="000000" w:themeColor="text1"/>
          <w:sz w:val="28"/>
          <w:szCs w:val="28"/>
        </w:rPr>
        <w:t>1.7 Plano de Ação para Implementação:</w:t>
      </w:r>
    </w:p>
    <w:p w14:paraId="24650CAF" w14:textId="3A4BCC3D" w:rsidR="00B07D55" w:rsidRDefault="0AED634E" w:rsidP="5041A8F0">
      <w:pPr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>Os primeiros passos para o plano de ação visando a implementação do projeto foram identificados como:</w:t>
      </w:r>
    </w:p>
    <w:p w14:paraId="403A381E" w14:textId="0251B030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proofErr w:type="spellStart"/>
      <w:r w:rsidRPr="5041A8F0">
        <w:rPr>
          <w:rFonts w:eastAsiaTheme="minorEastAsia"/>
          <w:b/>
          <w:bCs/>
          <w:color w:val="000000" w:themeColor="text1"/>
        </w:rPr>
        <w:t>Patreon</w:t>
      </w:r>
      <w:proofErr w:type="spellEnd"/>
      <w:r w:rsidRPr="5041A8F0">
        <w:rPr>
          <w:rFonts w:eastAsiaTheme="minorEastAsia"/>
          <w:b/>
          <w:bCs/>
          <w:color w:val="000000" w:themeColor="text1"/>
        </w:rPr>
        <w:t xml:space="preserve"> - Plataforma de Financiamento Coletivo:</w:t>
      </w:r>
      <w:r w:rsidRPr="5041A8F0">
        <w:rPr>
          <w:rFonts w:eastAsiaTheme="minorEastAsia"/>
          <w:color w:val="000000" w:themeColor="text1"/>
        </w:rPr>
        <w:t xml:space="preserve"> implementar essa interface como parte do plano de ação da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 pode proporcionar uma fonte adicional de receita, promover o </w:t>
      </w:r>
      <w:r w:rsidRPr="5041A8F0">
        <w:rPr>
          <w:rFonts w:eastAsiaTheme="minorEastAsia"/>
          <w:color w:val="000000" w:themeColor="text1"/>
        </w:rPr>
        <w:lastRenderedPageBreak/>
        <w:t xml:space="preserve">engajamento da comunidade, gerar feedback valioso e ampliar a visibilidade da marca. Os apoiadores podem contribuir financeiramente em troca de benefícios exclusivos, fortalecendo a lealdade à empresa. Além disso, o </w:t>
      </w:r>
      <w:proofErr w:type="spellStart"/>
      <w:r w:rsidRPr="5041A8F0">
        <w:rPr>
          <w:rFonts w:eastAsiaTheme="minorEastAsia"/>
          <w:color w:val="000000" w:themeColor="text1"/>
        </w:rPr>
        <w:t>Patreon</w:t>
      </w:r>
      <w:proofErr w:type="spellEnd"/>
      <w:r w:rsidRPr="5041A8F0">
        <w:rPr>
          <w:rFonts w:eastAsiaTheme="minorEastAsia"/>
          <w:color w:val="000000" w:themeColor="text1"/>
        </w:rPr>
        <w:t xml:space="preserve"> possibilita o compartilhamento de ideias e feedback, servindo também como uma ferramenta eficaz de marketing e divulgação. Essa estratégia pode impulsionar o crescimento e a interação com a base de clientes da empresa.</w:t>
      </w:r>
    </w:p>
    <w:p w14:paraId="3DEDC248" w14:textId="7DDB0FF9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>Quick Start:</w:t>
      </w:r>
      <w:r w:rsidRPr="5041A8F0">
        <w:rPr>
          <w:rFonts w:eastAsiaTheme="minorEastAsia"/>
          <w:color w:val="000000" w:themeColor="text1"/>
        </w:rPr>
        <w:t xml:space="preserve"> O esquema de venda antecipada - Quick Start pode auxiliar na geração de receita antes de lançar oficialmente 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, o que pode ajudar a financiar o desenvolvimento e a produção.  Além disso, o Quick Start ajuda a medir a demanda e o interesse do mercado pelo produto ou serviço, fornecendo feedback valioso que pode ser utilizado para ajustes finais antes do lançamento completo. Essa abordagem também cria um senso de exclusividade e urgência entre os clientes, incentivando-os a participar da pré-venda para garantir acesso prioritário ao produto ou serviço. Em resumo, o Quick Start pode ser uma estratégia eficaz para impulsionar o lançamento bem-sucedido de novos produtos ou serviços na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>.</w:t>
      </w:r>
    </w:p>
    <w:p w14:paraId="210AE086" w14:textId="0D3BDC50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 xml:space="preserve">Linha de crédito / SEBRAE: </w:t>
      </w:r>
      <w:r w:rsidRPr="5041A8F0">
        <w:rPr>
          <w:rFonts w:eastAsiaTheme="minorEastAsia"/>
          <w:color w:val="000000" w:themeColor="text1"/>
        </w:rPr>
        <w:t xml:space="preserve">Implementar uma linha de crédito ou buscar apoio do SEBRAE são estratégias de implementação do plano de ação da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>, pois fornece financiamento para crescimento, acesso a recursos e capacitação, oportunidades de networking e parcerias, além de assistência técnica e tecnológica. Essas medidas podem impulsionar o desenvolvimento, a competitividade e o sucesso do negócio.</w:t>
      </w:r>
    </w:p>
    <w:p w14:paraId="1E207724" w14:textId="5948A32C" w:rsidR="00B07D55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 xml:space="preserve">Participação em feiras (empreendedorismo, sustentabilidade, inovação): </w:t>
      </w:r>
      <w:r w:rsidRPr="5041A8F0">
        <w:rPr>
          <w:rFonts w:eastAsiaTheme="minorEastAsia"/>
          <w:color w:val="000000" w:themeColor="text1"/>
        </w:rPr>
        <w:t xml:space="preserve">A participação em feiras de empreendedorismo, sustentabilidade e inovação oferece à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 visibilidade, oportunidades de networking, feedback do mercado, parcerias estratégicas, aprendizado, atualização e possibilidades de lançamento de produtos. Essa estratégia ajuda a impulsionar o crescimento, fortalecer o networking e promover a imagem da empresa.</w:t>
      </w:r>
    </w:p>
    <w:p w14:paraId="361DC48D" w14:textId="3CDA1777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006B44C2" w14:textId="204988FE" w:rsidR="0AED634E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  <w:sz w:val="28"/>
          <w:szCs w:val="28"/>
        </w:rPr>
      </w:pPr>
      <w:r w:rsidRPr="5041A8F0">
        <w:rPr>
          <w:rFonts w:eastAsiaTheme="minorEastAsia"/>
          <w:b/>
          <w:bCs/>
          <w:color w:val="000000" w:themeColor="text1"/>
          <w:sz w:val="28"/>
          <w:szCs w:val="28"/>
        </w:rPr>
        <w:t xml:space="preserve">1.9 Estratégias de Marketing </w:t>
      </w:r>
    </w:p>
    <w:p w14:paraId="7346ABFB" w14:textId="32EDEFD7" w:rsidR="0AED634E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color w:val="000000" w:themeColor="text1"/>
        </w:rPr>
        <w:t xml:space="preserve">Na busca constante por inovação e excelência, 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 está comprometida em </w:t>
      </w:r>
      <w:r w:rsidRPr="009F73E2">
        <w:rPr>
          <w:rFonts w:eastAsiaTheme="minorEastAsia"/>
          <w:color w:val="000000" w:themeColor="text1"/>
          <w:highlight w:val="green"/>
        </w:rPr>
        <w:t>desenvolver e implementar estratégias de marketing eficazes que ampliem o reconhecimento da marca e alcancem o público-alvo de maneira significativa.</w:t>
      </w:r>
      <w:r w:rsidRPr="5041A8F0">
        <w:rPr>
          <w:rFonts w:eastAsiaTheme="minorEastAsia"/>
          <w:color w:val="000000" w:themeColor="text1"/>
        </w:rPr>
        <w:t xml:space="preserve"> Abaixo, apresentam-se algumas das abordagens estratégicas que estão sendo adotadas para atingir esses objetivos:</w:t>
      </w:r>
    </w:p>
    <w:p w14:paraId="00B01D2A" w14:textId="2063BEDC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690129B1" w14:textId="1CB8274F" w:rsidR="0AED634E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009F73E2">
        <w:rPr>
          <w:rFonts w:eastAsiaTheme="minorEastAsia"/>
          <w:b/>
          <w:bCs/>
          <w:color w:val="000000" w:themeColor="text1"/>
          <w:highlight w:val="green"/>
        </w:rPr>
        <w:t>Eventos de Parceria com Construtoras e Empresas Imobiliárias</w:t>
      </w:r>
      <w:r w:rsidRPr="5041A8F0">
        <w:rPr>
          <w:rFonts w:eastAsiaTheme="minorEastAsia"/>
          <w:b/>
          <w:bCs/>
          <w:color w:val="000000" w:themeColor="text1"/>
        </w:rPr>
        <w:t>:</w:t>
      </w:r>
      <w:r w:rsidRPr="5041A8F0">
        <w:rPr>
          <w:rFonts w:eastAsiaTheme="minorEastAsia"/>
          <w:color w:val="000000" w:themeColor="text1"/>
        </w:rPr>
        <w:t xml:space="preserve"> 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 planeja </w:t>
      </w:r>
      <w:r w:rsidRPr="009F73E2">
        <w:rPr>
          <w:rFonts w:eastAsiaTheme="minorEastAsia"/>
          <w:color w:val="000000" w:themeColor="text1"/>
          <w:highlight w:val="yellow"/>
        </w:rPr>
        <w:t>organizar eventos</w:t>
      </w:r>
      <w:r w:rsidRPr="5041A8F0">
        <w:rPr>
          <w:rFonts w:eastAsiaTheme="minorEastAsia"/>
          <w:color w:val="000000" w:themeColor="text1"/>
        </w:rPr>
        <w:t xml:space="preserve"> colaborativos com construtoras e empresas imobiliárias para destacar seus produtos como uma opção de valor agregado para os compradores de imóveis. Isso incluirá a realização de eventos promocionais em locais selecionados, como lançamentos de empreendimentos imobiliários. Os custos envolverão despesas com aluguel de espaço, </w:t>
      </w:r>
      <w:r w:rsidRPr="5041A8F0">
        <w:rPr>
          <w:rFonts w:eastAsiaTheme="minorEastAsia"/>
          <w:color w:val="000000" w:themeColor="text1"/>
        </w:rPr>
        <w:lastRenderedPageBreak/>
        <w:t>materiais promocionais, brindes, alimentação e logística. Estima-se um investimento de aproximadamente R$10.000 a R$20.000 por evento.</w:t>
      </w:r>
    </w:p>
    <w:p w14:paraId="4F00AF16" w14:textId="0B7CF59A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094D6E6E" w14:textId="7519A519" w:rsidR="0AED634E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009F73E2">
        <w:rPr>
          <w:rFonts w:eastAsiaTheme="minorEastAsia"/>
          <w:b/>
          <w:bCs/>
          <w:color w:val="000000" w:themeColor="text1"/>
          <w:highlight w:val="green"/>
        </w:rPr>
        <w:t>Marketing de Experiência nas Lojas Física e Online</w:t>
      </w:r>
      <w:r w:rsidRPr="5041A8F0">
        <w:rPr>
          <w:rFonts w:eastAsiaTheme="minorEastAsia"/>
          <w:b/>
          <w:bCs/>
          <w:color w:val="000000" w:themeColor="text1"/>
        </w:rPr>
        <w:t xml:space="preserve">: </w:t>
      </w:r>
      <w:r w:rsidRPr="5041A8F0">
        <w:rPr>
          <w:rFonts w:eastAsiaTheme="minorEastAsia"/>
          <w:color w:val="000000" w:themeColor="text1"/>
        </w:rPr>
        <w:t>Para proporcionar uma experiência de compra envolvente, essa estratégia tem como objetivo criar espaços de exposição na loja física onde os clientes possam interagir e experimentar os produtos antes de comprar. Além disso, serão implementados recursos interativos nos sites de comércio eletrônico, como simuladores de cultivo e vídeos explicativos. Os custos incluirão despesas com aluguel de espaço, mobiliário, decoração, pessoal para atendimento, desenvolvimento de software e design de interface. Estima-se um investimento inicial de R$5.000 a R$15.000 por loja física e R$3.000 a R$8.000 para desenvolvimento online.</w:t>
      </w:r>
    </w:p>
    <w:p w14:paraId="67500081" w14:textId="1DEB0232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70E78C62" w14:textId="38F7604E" w:rsidR="0AED634E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009F73E2">
        <w:rPr>
          <w:rFonts w:eastAsiaTheme="minorEastAsia"/>
          <w:b/>
          <w:bCs/>
          <w:color w:val="000000" w:themeColor="text1"/>
          <w:highlight w:val="green"/>
        </w:rPr>
        <w:t>Participação em Feiras e Eventos do Setor</w:t>
      </w:r>
      <w:r w:rsidRPr="5041A8F0">
        <w:rPr>
          <w:rFonts w:eastAsiaTheme="minorEastAsia"/>
          <w:b/>
          <w:bCs/>
          <w:color w:val="000000" w:themeColor="text1"/>
        </w:rPr>
        <w:t xml:space="preserve">: </w:t>
      </w:r>
      <w:r w:rsidRPr="5041A8F0">
        <w:rPr>
          <w:rFonts w:eastAsiaTheme="minorEastAsia"/>
          <w:color w:val="000000" w:themeColor="text1"/>
        </w:rPr>
        <w:t xml:space="preserve">Pensando em </w:t>
      </w:r>
      <w:r w:rsidRPr="009F73E2">
        <w:rPr>
          <w:rFonts w:eastAsiaTheme="minorEastAsia"/>
          <w:color w:val="000000" w:themeColor="text1"/>
          <w:highlight w:val="yellow"/>
        </w:rPr>
        <w:t>apresentar os produtos para o público de interesse, participar ativamente de feiras e eventos relacionados ao setor de jardinagem, sustentabilidade e tecnologia</w:t>
      </w:r>
      <w:r w:rsidRPr="5041A8F0">
        <w:rPr>
          <w:rFonts w:eastAsiaTheme="minorEastAsia"/>
          <w:color w:val="000000" w:themeColor="text1"/>
        </w:rPr>
        <w:t xml:space="preserve"> pode ser uma das estratégias mais efetivas. Isso incluirá taxas de participação, aluguel de estandes, transporte de materiais, produção de materiais promocionais e contratação de pessoal para representar a empresa durante os eventos. O investimento pode variar significativamente dependendo do tamanho e relevância das feiras. Estima-se um investimento de R$10.000 por evento.</w:t>
      </w:r>
    </w:p>
    <w:p w14:paraId="4FE0E168" w14:textId="5085CD15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266A9ADE" w14:textId="3093640C" w:rsidR="0AED634E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 xml:space="preserve">Estratégias de Redes Sociais Interativas: </w:t>
      </w:r>
      <w:r w:rsidRPr="5041A8F0">
        <w:rPr>
          <w:rFonts w:eastAsiaTheme="minorEastAsia"/>
          <w:color w:val="000000" w:themeColor="text1"/>
        </w:rPr>
        <w:t>A presença ativa nas redes sociais desempenha um papel</w:t>
      </w:r>
      <w:r w:rsidR="009F73E2">
        <w:rPr>
          <w:rFonts w:eastAsiaTheme="minorEastAsia"/>
          <w:color w:val="000000" w:themeColor="text1"/>
        </w:rPr>
        <w:t xml:space="preserve"> </w:t>
      </w:r>
      <w:r w:rsidR="009F73E2" w:rsidRPr="009F73E2">
        <w:rPr>
          <w:rFonts w:eastAsiaTheme="minorEastAsia"/>
          <w:color w:val="000000" w:themeColor="text1"/>
          <w:highlight w:val="green"/>
        </w:rPr>
        <w:t>importante</w:t>
      </w:r>
      <w:r w:rsidRPr="5041A8F0">
        <w:rPr>
          <w:rFonts w:eastAsiaTheme="minorEastAsia"/>
          <w:color w:val="000000" w:themeColor="text1"/>
        </w:rPr>
        <w:t xml:space="preserve"> </w:t>
      </w:r>
      <w:r w:rsidRPr="009F73E2">
        <w:rPr>
          <w:rFonts w:eastAsiaTheme="minorEastAsia"/>
          <w:strike/>
          <w:color w:val="FF0000"/>
        </w:rPr>
        <w:t>crucial</w:t>
      </w:r>
      <w:r w:rsidRPr="5041A8F0">
        <w:rPr>
          <w:rFonts w:eastAsiaTheme="minorEastAsia"/>
          <w:color w:val="000000" w:themeColor="text1"/>
        </w:rPr>
        <w:t xml:space="preserve"> na estratégia de marketing da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, já </w:t>
      </w:r>
      <w:r w:rsidR="009F73E2" w:rsidRPr="5041A8F0">
        <w:rPr>
          <w:rFonts w:eastAsiaTheme="minorEastAsia"/>
          <w:color w:val="000000" w:themeColor="text1"/>
        </w:rPr>
        <w:t>está</w:t>
      </w:r>
      <w:r w:rsidRPr="5041A8F0">
        <w:rPr>
          <w:rFonts w:eastAsiaTheme="minorEastAsia"/>
          <w:color w:val="000000" w:themeColor="text1"/>
        </w:rPr>
        <w:t xml:space="preserve"> engloba a tecnologia como quesito principal do produto. Essa estratégia envolve engajar os seguidores nas redes sociais por </w:t>
      </w:r>
      <w:r w:rsidRPr="009F73E2">
        <w:rPr>
          <w:rFonts w:eastAsiaTheme="minorEastAsia"/>
          <w:color w:val="000000" w:themeColor="text1"/>
          <w:highlight w:val="green"/>
        </w:rPr>
        <w:t xml:space="preserve">meio de concursos, desafios e enquetes relacionadas à jardinagem e </w:t>
      </w:r>
      <w:commentRangeStart w:id="0"/>
      <w:r w:rsidRPr="009F73E2">
        <w:rPr>
          <w:rFonts w:eastAsiaTheme="minorEastAsia"/>
          <w:color w:val="000000" w:themeColor="text1"/>
          <w:highlight w:val="green"/>
        </w:rPr>
        <w:t>sustentabilidade</w:t>
      </w:r>
      <w:commentRangeEnd w:id="0"/>
      <w:r w:rsidR="009F73E2">
        <w:rPr>
          <w:rStyle w:val="Refdecomentrio"/>
        </w:rPr>
        <w:commentReference w:id="0"/>
      </w:r>
      <w:r w:rsidRPr="009F73E2">
        <w:rPr>
          <w:rFonts w:eastAsiaTheme="minorEastAsia"/>
          <w:color w:val="000000" w:themeColor="text1"/>
          <w:highlight w:val="green"/>
        </w:rPr>
        <w:t>.</w:t>
      </w:r>
      <w:r w:rsidRPr="5041A8F0">
        <w:rPr>
          <w:rFonts w:eastAsiaTheme="minorEastAsia"/>
          <w:color w:val="000000" w:themeColor="text1"/>
        </w:rPr>
        <w:t xml:space="preserve"> Os custos serão relativamente baixos e incluirão despesas com produção de conteúdo, gerenciamento de redes sociais e investimentos em publicidade online. Estima-se um investimento mensal de R$3.000 a R$10.000 para gerenciamento de redes sociais e produção de conteúdo.</w:t>
      </w:r>
    </w:p>
    <w:p w14:paraId="516AEF5F" w14:textId="532A54C8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50263AFE" w14:textId="5A3AA944" w:rsidR="0AED634E" w:rsidRDefault="0AED634E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  <w:r w:rsidRPr="5041A8F0">
        <w:rPr>
          <w:rFonts w:eastAsiaTheme="minorEastAsia"/>
          <w:b/>
          <w:bCs/>
          <w:color w:val="000000" w:themeColor="text1"/>
        </w:rPr>
        <w:t xml:space="preserve">Influenciadores e Criadores de </w:t>
      </w:r>
      <w:commentRangeStart w:id="1"/>
      <w:r w:rsidRPr="5041A8F0">
        <w:rPr>
          <w:rFonts w:eastAsiaTheme="minorEastAsia"/>
          <w:b/>
          <w:bCs/>
          <w:color w:val="000000" w:themeColor="text1"/>
        </w:rPr>
        <w:t>Conteúdo</w:t>
      </w:r>
      <w:commentRangeEnd w:id="1"/>
      <w:r w:rsidR="009F73E2">
        <w:rPr>
          <w:rStyle w:val="Refdecomentrio"/>
        </w:rPr>
        <w:commentReference w:id="1"/>
      </w:r>
      <w:r w:rsidRPr="5041A8F0">
        <w:rPr>
          <w:rFonts w:eastAsiaTheme="minorEastAsia"/>
          <w:b/>
          <w:bCs/>
          <w:color w:val="000000" w:themeColor="text1"/>
        </w:rPr>
        <w:t xml:space="preserve">: </w:t>
      </w:r>
      <w:r w:rsidRPr="5041A8F0">
        <w:rPr>
          <w:rFonts w:eastAsiaTheme="minorEastAsia"/>
          <w:color w:val="000000" w:themeColor="text1"/>
        </w:rPr>
        <w:t xml:space="preserve">A </w:t>
      </w:r>
      <w:proofErr w:type="spellStart"/>
      <w:r w:rsidRPr="5041A8F0">
        <w:rPr>
          <w:rFonts w:eastAsiaTheme="minorEastAsia"/>
          <w:color w:val="000000" w:themeColor="text1"/>
        </w:rPr>
        <w:t>PlanTech</w:t>
      </w:r>
      <w:proofErr w:type="spellEnd"/>
      <w:r w:rsidRPr="5041A8F0">
        <w:rPr>
          <w:rFonts w:eastAsiaTheme="minorEastAsia"/>
          <w:color w:val="000000" w:themeColor="text1"/>
        </w:rPr>
        <w:t xml:space="preserve"> identificará influenciadores no nicho de jardinagem, decoração de interiores e sustentabilidade para estabelecer parcerias. Os custos incluirão pagamentos aos criadores de conteúdo selecionados e investimento em impulsionamento da campanha nas redes sociais. Estima-se um investimento inicial de R$3.000 a R$15.000 por parceria, dependendo do alcance e da relevância do influenciador, além de um investimento adicional de R$2.000 a R$5.000 para impulsionamento de campanhas nas redes sociais.</w:t>
      </w:r>
    </w:p>
    <w:p w14:paraId="76F62E65" w14:textId="78C3CA0F" w:rsidR="5041A8F0" w:rsidRDefault="5041A8F0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34DDC9BA" w14:textId="4ED4AC6F" w:rsidR="5041A8F0" w:rsidRDefault="5041A8F0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38A6EC5E" w14:textId="1ACB546D" w:rsidR="5041A8F0" w:rsidRDefault="5041A8F0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5275666C" w14:textId="3A37CB5E" w:rsidR="5041A8F0" w:rsidRDefault="5041A8F0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29E66412" w14:textId="016A6C66" w:rsidR="5041A8F0" w:rsidRDefault="5041A8F0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7ABC4025" w14:textId="34B3742B" w:rsidR="45D19227" w:rsidRDefault="45D19227" w:rsidP="5041A8F0">
      <w:pPr>
        <w:spacing w:line="276" w:lineRule="auto"/>
        <w:jc w:val="both"/>
        <w:rPr>
          <w:rFonts w:eastAsiaTheme="minorEastAsia"/>
          <w:b/>
          <w:bCs/>
        </w:rPr>
      </w:pPr>
      <w:r w:rsidRPr="5041A8F0">
        <w:rPr>
          <w:rFonts w:eastAsiaTheme="minorEastAsia"/>
          <w:b/>
          <w:bCs/>
        </w:rPr>
        <w:t xml:space="preserve">Resultados Esperados e Projeções Futuras:  </w:t>
      </w:r>
    </w:p>
    <w:p w14:paraId="755902FA" w14:textId="436D49CB" w:rsidR="45D19227" w:rsidRDefault="45D19227" w:rsidP="5041A8F0">
      <w:pPr>
        <w:spacing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 xml:space="preserve">A </w:t>
      </w:r>
      <w:proofErr w:type="spellStart"/>
      <w:r w:rsidRPr="5041A8F0">
        <w:rPr>
          <w:rFonts w:eastAsiaTheme="minorEastAsia"/>
        </w:rPr>
        <w:t>PlanTech</w:t>
      </w:r>
      <w:proofErr w:type="spellEnd"/>
      <w:r w:rsidRPr="5041A8F0">
        <w:rPr>
          <w:rFonts w:eastAsiaTheme="minorEastAsia"/>
        </w:rPr>
        <w:t xml:space="preserve"> visa aumentar sua base de clientes em 30% anualmente, utilizando estratégias como campanhas de marketing direcionadas e parcerias com influenciadores de jardinagem. Além disso, a empresa pretende criar uma comunidade ativa onde os clientes possam compartilhar experiências, fortalecendo assim a fidelidade à marca. </w:t>
      </w:r>
    </w:p>
    <w:p w14:paraId="4F2DC186" w14:textId="038CC200" w:rsidR="45D19227" w:rsidRDefault="45D19227" w:rsidP="5041A8F0">
      <w:pPr>
        <w:spacing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 xml:space="preserve">Expansão de Mercado: A expansão no mercado será impulsionada por parcerias estratégicas com construtoras, integrando os produtos da </w:t>
      </w:r>
      <w:proofErr w:type="spellStart"/>
      <w:r w:rsidRPr="5041A8F0">
        <w:rPr>
          <w:rFonts w:eastAsiaTheme="minorEastAsia"/>
        </w:rPr>
        <w:t>PlanTech</w:t>
      </w:r>
      <w:proofErr w:type="spellEnd"/>
      <w:r w:rsidRPr="5041A8F0">
        <w:rPr>
          <w:rFonts w:eastAsiaTheme="minorEastAsia"/>
        </w:rPr>
        <w:t xml:space="preserve"> em novos projetos habitacionais. A inovação será um pilar fundamental da trajetória da </w:t>
      </w:r>
      <w:proofErr w:type="spellStart"/>
      <w:r w:rsidRPr="5041A8F0">
        <w:rPr>
          <w:rFonts w:eastAsiaTheme="minorEastAsia"/>
        </w:rPr>
        <w:t>PlanTech</w:t>
      </w:r>
      <w:proofErr w:type="spellEnd"/>
      <w:r w:rsidRPr="5041A8F0">
        <w:rPr>
          <w:rFonts w:eastAsiaTheme="minorEastAsia"/>
        </w:rPr>
        <w:t xml:space="preserve">, com investimentos em tecnologia para aprimorar os produtos e torná-los mais intuitivos e práticos. </w:t>
      </w:r>
    </w:p>
    <w:p w14:paraId="2585F3EA" w14:textId="06724AE3" w:rsidR="45D19227" w:rsidRDefault="45D19227" w:rsidP="5041A8F0">
      <w:pPr>
        <w:spacing w:line="276" w:lineRule="auto"/>
        <w:jc w:val="both"/>
        <w:rPr>
          <w:rFonts w:eastAsiaTheme="minorEastAsia"/>
          <w:b/>
          <w:bCs/>
        </w:rPr>
      </w:pPr>
      <w:r w:rsidRPr="5041A8F0">
        <w:rPr>
          <w:rFonts w:eastAsiaTheme="minorEastAsia"/>
          <w:b/>
          <w:bCs/>
        </w:rPr>
        <w:t xml:space="preserve"> </w:t>
      </w:r>
    </w:p>
    <w:p w14:paraId="18E9DC3B" w14:textId="34A8DD86" w:rsidR="45D19227" w:rsidRDefault="45D19227" w:rsidP="5041A8F0">
      <w:pPr>
        <w:spacing w:line="276" w:lineRule="auto"/>
        <w:jc w:val="both"/>
        <w:rPr>
          <w:rFonts w:eastAsiaTheme="minorEastAsia"/>
          <w:b/>
          <w:bCs/>
        </w:rPr>
      </w:pPr>
      <w:r w:rsidRPr="5041A8F0">
        <w:rPr>
          <w:rFonts w:eastAsiaTheme="minorEastAsia"/>
          <w:b/>
          <w:bCs/>
        </w:rPr>
        <w:t xml:space="preserve">Crescimento de Clientes: </w:t>
      </w:r>
    </w:p>
    <w:p w14:paraId="44B11B08" w14:textId="3D366813" w:rsidR="45D19227" w:rsidRDefault="45D19227" w:rsidP="5041A8F0">
      <w:pPr>
        <w:spacing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 xml:space="preserve">Espera-se alcançar 10.000 clientes em 2025, com um aumento projetado de 3.000 novos clientes a cada ano subsequente. </w:t>
      </w:r>
    </w:p>
    <w:p w14:paraId="041DF054" w14:textId="69BFD40D" w:rsidR="45D19227" w:rsidRDefault="45D19227" w:rsidP="5041A8F0">
      <w:pPr>
        <w:spacing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 xml:space="preserve">Totalizando 22.000 clientes até o quinto ano. </w:t>
      </w:r>
    </w:p>
    <w:p w14:paraId="42D55672" w14:textId="378C233A" w:rsidR="5041A8F0" w:rsidRDefault="5041A8F0" w:rsidP="5041A8F0">
      <w:pPr>
        <w:spacing w:line="276" w:lineRule="auto"/>
        <w:jc w:val="center"/>
        <w:rPr>
          <w:rFonts w:eastAsiaTheme="minorEastAsia"/>
        </w:rPr>
      </w:pPr>
    </w:p>
    <w:p w14:paraId="2BD5E445" w14:textId="08A714EC" w:rsidR="45D19227" w:rsidRDefault="45D19227" w:rsidP="5041A8F0">
      <w:pPr>
        <w:spacing w:line="276" w:lineRule="auto"/>
        <w:jc w:val="center"/>
        <w:rPr>
          <w:rFonts w:eastAsiaTheme="minorEastAsia"/>
          <w:sz w:val="20"/>
          <w:szCs w:val="20"/>
        </w:rPr>
      </w:pPr>
      <w:r w:rsidRPr="5041A8F0">
        <w:rPr>
          <w:rFonts w:eastAsiaTheme="minorEastAsia"/>
          <w:sz w:val="20"/>
          <w:szCs w:val="20"/>
        </w:rPr>
        <w:t>Gráfico 2: Crescimento de clientes até 5 anos</w:t>
      </w:r>
    </w:p>
    <w:p w14:paraId="61B3801C" w14:textId="1FA96B3E" w:rsidR="45D19227" w:rsidRDefault="45D19227" w:rsidP="5041A8F0">
      <w:pPr>
        <w:spacing w:line="276" w:lineRule="auto"/>
        <w:jc w:val="center"/>
        <w:rPr>
          <w:rFonts w:eastAsiaTheme="minorEastAsia"/>
          <w:sz w:val="20"/>
          <w:szCs w:val="20"/>
        </w:rPr>
      </w:pPr>
      <w:r w:rsidRPr="5041A8F0">
        <w:rPr>
          <w:rFonts w:eastAsiaTheme="minorEastAsia"/>
          <w:sz w:val="20"/>
          <w:szCs w:val="20"/>
        </w:rPr>
        <w:t xml:space="preserve"> </w:t>
      </w:r>
    </w:p>
    <w:p w14:paraId="5FE12B2A" w14:textId="6551E8D8" w:rsidR="45D19227" w:rsidRDefault="45D19227" w:rsidP="5041A8F0">
      <w:pPr>
        <w:spacing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 xml:space="preserve">A </w:t>
      </w:r>
      <w:proofErr w:type="spellStart"/>
      <w:r w:rsidRPr="5041A8F0">
        <w:rPr>
          <w:rFonts w:eastAsiaTheme="minorEastAsia"/>
        </w:rPr>
        <w:t>PlanTech</w:t>
      </w:r>
      <w:proofErr w:type="spellEnd"/>
      <w:r w:rsidRPr="5041A8F0">
        <w:rPr>
          <w:rFonts w:eastAsiaTheme="minorEastAsia"/>
        </w:rPr>
        <w:t xml:space="preserve"> está projetada para crescer de forma consistente, com um aumento significativo de clientes e uma receita que acompanha esse crescimento. Em 2024, a receita será de R$ 593.000,00 e o lucro bruto de R$ 415.100,00 (70% da receita). O crescimento será de 50% ao ano, com o objetivo de alcançar 22.000 clientes até o quinto ano.</w:t>
      </w:r>
    </w:p>
    <w:p w14:paraId="73B59369" w14:textId="561747A1" w:rsidR="45D19227" w:rsidRDefault="45D19227" w:rsidP="5041A8F0">
      <w:pPr>
        <w:spacing w:line="276" w:lineRule="auto"/>
        <w:jc w:val="both"/>
        <w:rPr>
          <w:rFonts w:eastAsiaTheme="minorEastAsia"/>
          <w:b/>
          <w:bCs/>
        </w:rPr>
      </w:pPr>
      <w:r w:rsidRPr="5041A8F0">
        <w:rPr>
          <w:rFonts w:eastAsiaTheme="minorEastAsia"/>
          <w:b/>
          <w:bCs/>
        </w:rPr>
        <w:t>Crescimento Financeiro</w:t>
      </w:r>
    </w:p>
    <w:p w14:paraId="551DC9FE" w14:textId="0FE09237" w:rsidR="45D19227" w:rsidRDefault="45D19227" w:rsidP="5041A8F0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>Crescimento Absoluto da Receita: R$ 296.500,00 por ano</w:t>
      </w:r>
    </w:p>
    <w:p w14:paraId="13BE2045" w14:textId="5E23607A" w:rsidR="45D19227" w:rsidRDefault="45D19227" w:rsidP="5041A8F0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>Crescimento Percentual da Receita: 50%</w:t>
      </w:r>
    </w:p>
    <w:p w14:paraId="3C50A4CE" w14:textId="1697C10D" w:rsidR="45D19227" w:rsidRDefault="45D19227" w:rsidP="5041A8F0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>Crescimento Absoluto do Lucro Bruto: R$ 178.550,00 por ano</w:t>
      </w:r>
    </w:p>
    <w:p w14:paraId="1CB5B725" w14:textId="1A956FA6" w:rsidR="45D19227" w:rsidRDefault="45D19227" w:rsidP="5041A8F0">
      <w:pPr>
        <w:pStyle w:val="PargrafodaLista"/>
        <w:numPr>
          <w:ilvl w:val="0"/>
          <w:numId w:val="1"/>
        </w:numPr>
        <w:spacing w:after="0"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>Crescimento Percentual do Lucro Bruto: 50%</w:t>
      </w:r>
    </w:p>
    <w:p w14:paraId="15EF9B24" w14:textId="27434552" w:rsidR="45D19227" w:rsidRDefault="45D19227" w:rsidP="5041A8F0">
      <w:pPr>
        <w:spacing w:line="276" w:lineRule="auto"/>
        <w:ind w:left="720"/>
        <w:jc w:val="both"/>
        <w:rPr>
          <w:rFonts w:eastAsiaTheme="minorEastAsia"/>
        </w:rPr>
      </w:pPr>
      <w:r w:rsidRPr="5041A8F0">
        <w:rPr>
          <w:rFonts w:eastAsiaTheme="minorEastAsia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27"/>
        <w:gridCol w:w="1494"/>
        <w:gridCol w:w="1647"/>
        <w:gridCol w:w="2332"/>
      </w:tblGrid>
      <w:tr w:rsidR="5041A8F0" w14:paraId="42FAD2B2" w14:textId="77777777" w:rsidTr="5041A8F0">
        <w:trPr>
          <w:trHeight w:val="3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06198A91" w14:textId="2DFE61C6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</w:rPr>
              <w:lastRenderedPageBreak/>
              <w:t xml:space="preserve"> </w:t>
            </w: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Ano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32080AB0" w14:textId="0E89A23C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Clientes</w:t>
            </w:r>
          </w:p>
        </w:tc>
        <w:tc>
          <w:tcPr>
            <w:tcW w:w="1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72E3AA41" w14:textId="516D5496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Receita (R$)</w:t>
            </w:r>
          </w:p>
        </w:tc>
        <w:tc>
          <w:tcPr>
            <w:tcW w:w="2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67460612" w14:textId="60149736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Lucro Bruto (R$)</w:t>
            </w:r>
          </w:p>
        </w:tc>
      </w:tr>
      <w:tr w:rsidR="5041A8F0" w14:paraId="61B17000" w14:textId="77777777" w:rsidTr="5041A8F0">
        <w:trPr>
          <w:trHeight w:val="3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45C8C629" w14:textId="67E9253D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2024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4B22D33C" w14:textId="41B56066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855</w:t>
            </w:r>
          </w:p>
        </w:tc>
        <w:tc>
          <w:tcPr>
            <w:tcW w:w="1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73CADB93" w14:textId="7DDDEE1E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593.000</w:t>
            </w:r>
          </w:p>
        </w:tc>
        <w:tc>
          <w:tcPr>
            <w:tcW w:w="2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70" w:type="dxa"/>
              <w:right w:w="70" w:type="dxa"/>
            </w:tcMar>
            <w:vAlign w:val="center"/>
          </w:tcPr>
          <w:p w14:paraId="50493C60" w14:textId="0C2E02AE" w:rsidR="5041A8F0" w:rsidRDefault="5041A8F0" w:rsidP="5041A8F0">
            <w:pPr>
              <w:spacing w:after="0"/>
              <w:jc w:val="center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</w:rPr>
              <w:t>415.100</w:t>
            </w:r>
          </w:p>
        </w:tc>
      </w:tr>
      <w:tr w:rsidR="5041A8F0" w14:paraId="1481C289" w14:textId="77777777" w:rsidTr="5041A8F0">
        <w:trPr>
          <w:trHeight w:val="3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6FA9D3C" w14:textId="50891B13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2025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158BA51" w14:textId="77B9ADFA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10.000</w:t>
            </w:r>
          </w:p>
        </w:tc>
        <w:tc>
          <w:tcPr>
            <w:tcW w:w="1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30D4E25" w14:textId="2ACA6AFF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889.500</w:t>
            </w:r>
          </w:p>
        </w:tc>
        <w:tc>
          <w:tcPr>
            <w:tcW w:w="2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E8C6996" w14:textId="181064C1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622.650</w:t>
            </w:r>
          </w:p>
        </w:tc>
      </w:tr>
      <w:tr w:rsidR="5041A8F0" w14:paraId="7057340A" w14:textId="77777777" w:rsidTr="5041A8F0">
        <w:trPr>
          <w:trHeight w:val="3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C1BDEFC" w14:textId="29B87142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2026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E3510AD" w14:textId="572D4822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13.000</w:t>
            </w:r>
          </w:p>
        </w:tc>
        <w:tc>
          <w:tcPr>
            <w:tcW w:w="1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2D99EFF" w14:textId="52B53554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1.334.250</w:t>
            </w:r>
          </w:p>
        </w:tc>
        <w:tc>
          <w:tcPr>
            <w:tcW w:w="2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653B392" w14:textId="742E5E03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933.975</w:t>
            </w:r>
          </w:p>
        </w:tc>
      </w:tr>
      <w:tr w:rsidR="5041A8F0" w14:paraId="267BE386" w14:textId="77777777" w:rsidTr="5041A8F0">
        <w:trPr>
          <w:trHeight w:val="3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6BEE9E8" w14:textId="0912FE8F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2027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8DEF45" w14:textId="157F6F2D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16.000</w:t>
            </w:r>
          </w:p>
        </w:tc>
        <w:tc>
          <w:tcPr>
            <w:tcW w:w="1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4D1533A" w14:textId="15BF7877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2.001.375</w:t>
            </w:r>
          </w:p>
        </w:tc>
        <w:tc>
          <w:tcPr>
            <w:tcW w:w="2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6FF7367" w14:textId="2E13B24D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1.400.962</w:t>
            </w:r>
          </w:p>
        </w:tc>
      </w:tr>
      <w:tr w:rsidR="5041A8F0" w14:paraId="1F377F92" w14:textId="77777777" w:rsidTr="5041A8F0">
        <w:trPr>
          <w:trHeight w:val="3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FCB5FA" w14:textId="07E810E3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2028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CC95D33" w14:textId="518911C3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19.000</w:t>
            </w:r>
          </w:p>
        </w:tc>
        <w:tc>
          <w:tcPr>
            <w:tcW w:w="1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9BB6D47" w14:textId="6A126AC7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3.002.063</w:t>
            </w:r>
          </w:p>
        </w:tc>
        <w:tc>
          <w:tcPr>
            <w:tcW w:w="2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BBE2BF3" w14:textId="12454430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2.101.443</w:t>
            </w:r>
          </w:p>
        </w:tc>
      </w:tr>
      <w:tr w:rsidR="5041A8F0" w14:paraId="7E3E268E" w14:textId="77777777" w:rsidTr="5041A8F0">
        <w:trPr>
          <w:trHeight w:val="300"/>
        </w:trPr>
        <w:tc>
          <w:tcPr>
            <w:tcW w:w="18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966077C" w14:textId="2AC0CEDF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2029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139DABC" w14:textId="5CF33192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22.000</w:t>
            </w:r>
          </w:p>
        </w:tc>
        <w:tc>
          <w:tcPr>
            <w:tcW w:w="16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D2FC9E5" w14:textId="6D2FDA79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4.503.094</w:t>
            </w:r>
          </w:p>
        </w:tc>
        <w:tc>
          <w:tcPr>
            <w:tcW w:w="2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105A0680" w14:textId="38DC8E1A" w:rsidR="5041A8F0" w:rsidRDefault="5041A8F0" w:rsidP="5041A8F0">
            <w:pPr>
              <w:spacing w:after="0"/>
              <w:jc w:val="center"/>
              <w:rPr>
                <w:rFonts w:eastAsiaTheme="minorEastAsia"/>
                <w:color w:val="000000" w:themeColor="text1"/>
                <w:sz w:val="22"/>
                <w:szCs w:val="22"/>
              </w:rPr>
            </w:pPr>
            <w:r w:rsidRPr="5041A8F0">
              <w:rPr>
                <w:rFonts w:eastAsiaTheme="minorEastAsia"/>
                <w:color w:val="000000" w:themeColor="text1"/>
                <w:sz w:val="22"/>
                <w:szCs w:val="22"/>
              </w:rPr>
              <w:t>3.151.946</w:t>
            </w:r>
          </w:p>
        </w:tc>
      </w:tr>
    </w:tbl>
    <w:p w14:paraId="045C2F50" w14:textId="4D7E711A" w:rsidR="45D19227" w:rsidRDefault="45D19227" w:rsidP="5041A8F0">
      <w:pPr>
        <w:spacing w:line="276" w:lineRule="auto"/>
        <w:jc w:val="center"/>
        <w:rPr>
          <w:rFonts w:eastAsiaTheme="minorEastAsia"/>
          <w:sz w:val="20"/>
          <w:szCs w:val="20"/>
        </w:rPr>
      </w:pPr>
      <w:r w:rsidRPr="5041A8F0">
        <w:rPr>
          <w:rFonts w:eastAsiaTheme="minorEastAsia"/>
          <w:sz w:val="20"/>
          <w:szCs w:val="20"/>
        </w:rPr>
        <w:t>Tabela 2: Projeção Anual de Receita e Lucro Bruto</w:t>
      </w:r>
    </w:p>
    <w:p w14:paraId="3D85AA34" w14:textId="64442583" w:rsidR="45D19227" w:rsidRDefault="45D19227" w:rsidP="5041A8F0">
      <w:pPr>
        <w:spacing w:line="276" w:lineRule="auto"/>
        <w:jc w:val="center"/>
        <w:rPr>
          <w:rFonts w:eastAsiaTheme="minorEastAsia"/>
          <w:sz w:val="20"/>
          <w:szCs w:val="20"/>
        </w:rPr>
      </w:pPr>
      <w:r w:rsidRPr="5041A8F0">
        <w:rPr>
          <w:rFonts w:eastAsiaTheme="minorEastAsia"/>
          <w:sz w:val="20"/>
          <w:szCs w:val="20"/>
        </w:rPr>
        <w:t xml:space="preserve"> </w:t>
      </w:r>
    </w:p>
    <w:p w14:paraId="3DA04569" w14:textId="6D33933C" w:rsidR="45D19227" w:rsidRDefault="45D19227" w:rsidP="5041A8F0">
      <w:pPr>
        <w:spacing w:line="276" w:lineRule="auto"/>
        <w:jc w:val="both"/>
        <w:rPr>
          <w:rFonts w:eastAsiaTheme="minorEastAsia"/>
          <w:b/>
          <w:bCs/>
          <w:sz w:val="28"/>
          <w:szCs w:val="28"/>
        </w:rPr>
      </w:pPr>
      <w:r w:rsidRPr="5041A8F0">
        <w:rPr>
          <w:rFonts w:eastAsiaTheme="minorEastAsia"/>
          <w:b/>
          <w:bCs/>
          <w:sz w:val="28"/>
          <w:szCs w:val="28"/>
        </w:rPr>
        <w:t xml:space="preserve"> </w:t>
      </w:r>
    </w:p>
    <w:p w14:paraId="4D8B5745" w14:textId="0FBBA8E3" w:rsidR="45D19227" w:rsidRDefault="45D19227" w:rsidP="5041A8F0">
      <w:pPr>
        <w:spacing w:line="276" w:lineRule="auto"/>
        <w:jc w:val="both"/>
        <w:rPr>
          <w:rFonts w:eastAsiaTheme="minorEastAsia"/>
          <w:b/>
          <w:bCs/>
          <w:sz w:val="28"/>
          <w:szCs w:val="28"/>
        </w:rPr>
      </w:pPr>
      <w:r w:rsidRPr="5041A8F0">
        <w:rPr>
          <w:rFonts w:eastAsiaTheme="minorEastAsia"/>
          <w:b/>
          <w:bCs/>
          <w:sz w:val="28"/>
          <w:szCs w:val="28"/>
        </w:rPr>
        <w:t xml:space="preserve">8. Dashboards </w:t>
      </w:r>
    </w:p>
    <w:p w14:paraId="35151287" w14:textId="2FDB9487" w:rsidR="45D19227" w:rsidRDefault="45D19227" w:rsidP="5041A8F0">
      <w:pPr>
        <w:spacing w:line="276" w:lineRule="auto"/>
        <w:jc w:val="both"/>
        <w:rPr>
          <w:rFonts w:eastAsiaTheme="minorEastAsia"/>
          <w:b/>
          <w:bCs/>
        </w:rPr>
      </w:pPr>
      <w:r w:rsidRPr="5041A8F0">
        <w:rPr>
          <w:rFonts w:eastAsiaTheme="minorEastAsia"/>
          <w:b/>
          <w:bCs/>
        </w:rPr>
        <w:t xml:space="preserve">Resumo Geral – </w:t>
      </w:r>
      <w:proofErr w:type="spellStart"/>
      <w:r w:rsidRPr="5041A8F0">
        <w:rPr>
          <w:rFonts w:eastAsiaTheme="minorEastAsia"/>
          <w:b/>
          <w:bCs/>
        </w:rPr>
        <w:t>PlanTech</w:t>
      </w:r>
      <w:proofErr w:type="spellEnd"/>
      <w:r w:rsidRPr="5041A8F0">
        <w:rPr>
          <w:rFonts w:eastAsiaTheme="minorEastAsia"/>
          <w:b/>
          <w:bCs/>
        </w:rPr>
        <w:t xml:space="preserve"> </w:t>
      </w:r>
    </w:p>
    <w:p w14:paraId="7A5193B8" w14:textId="7135E24D" w:rsidR="45D19227" w:rsidRDefault="45D19227" w:rsidP="5041A8F0">
      <w:pPr>
        <w:spacing w:line="276" w:lineRule="auto"/>
        <w:jc w:val="both"/>
        <w:rPr>
          <w:rFonts w:eastAsiaTheme="minorEastAsia"/>
        </w:rPr>
      </w:pPr>
      <w:r w:rsidRPr="5041A8F0">
        <w:rPr>
          <w:rFonts w:eastAsiaTheme="minorEastAsia"/>
        </w:rPr>
        <w:t xml:space="preserve">O dashboard "Resumo Geral - 2024" apresenta uma visão completa das operações e desempenho de vendas da </w:t>
      </w:r>
      <w:proofErr w:type="spellStart"/>
      <w:r w:rsidRPr="5041A8F0">
        <w:rPr>
          <w:rFonts w:eastAsiaTheme="minorEastAsia"/>
        </w:rPr>
        <w:t>PlanTech</w:t>
      </w:r>
      <w:proofErr w:type="spellEnd"/>
      <w:r w:rsidRPr="5041A8F0">
        <w:rPr>
          <w:rFonts w:eastAsiaTheme="minorEastAsia"/>
        </w:rPr>
        <w:t xml:space="preserve"> no ano. Com um total de 2000 vendas, atendemos 855 clientes, gerando uma receita líquida de 593 mil reais e um ticket médio de 296,7 reais. As vendas foram dominadas pelo e-commerce, representando 69,4% do total, enquanto 30,6% vieram de lojas físicas. O produto mais vendido foi o "Sistema de Iluminação LED para Cultivo". Nosso público predominante reside em São Paulo, reforçando o perfil identificado do público-alvo inicialmente. O perfil dos consumidores é predominantemente feminino e tem 33 anos em média. O gráfico de compras ao longo do ano indica um crescimento significativo em setembro e novembro, possibilitando identificar campanhas para esse período. Além disso, 102 vendas utilizaram cupons de desconto, refletindo a necessidade de adoção de estratégias de fidelização de clientes.</w:t>
      </w:r>
    </w:p>
    <w:p w14:paraId="3BB355D8" w14:textId="2AF780EA" w:rsidR="5041A8F0" w:rsidRDefault="5041A8F0" w:rsidP="5041A8F0">
      <w:pPr>
        <w:spacing w:line="276" w:lineRule="auto"/>
        <w:jc w:val="both"/>
        <w:rPr>
          <w:rFonts w:eastAsiaTheme="minorEastAsia"/>
        </w:rPr>
      </w:pPr>
    </w:p>
    <w:p w14:paraId="0068A4E0" w14:textId="12FFA255" w:rsidR="45D19227" w:rsidRDefault="45D19227" w:rsidP="5041A8F0">
      <w:pPr>
        <w:spacing w:line="276" w:lineRule="auto"/>
        <w:jc w:val="both"/>
      </w:pPr>
      <w:r w:rsidRPr="009F73E2">
        <w:rPr>
          <w:rFonts w:ascii="Aptos" w:eastAsia="Aptos" w:hAnsi="Aptos" w:cs="Aptos"/>
          <w:b/>
          <w:bCs/>
          <w:highlight w:val="green"/>
        </w:rPr>
        <w:t>Dados de Marketing - 2024</w:t>
      </w:r>
    </w:p>
    <w:p w14:paraId="4782AF71" w14:textId="7BF29D7B" w:rsidR="45D19227" w:rsidRDefault="45D19227" w:rsidP="5041A8F0">
      <w:pPr>
        <w:spacing w:line="276" w:lineRule="auto"/>
        <w:jc w:val="both"/>
      </w:pPr>
      <w:r w:rsidRPr="5041A8F0">
        <w:rPr>
          <w:rFonts w:ascii="Aptos" w:eastAsia="Aptos" w:hAnsi="Aptos" w:cs="Aptos"/>
        </w:rPr>
        <w:t xml:space="preserve">O dashboard "Dados de Marketing - 2024" fornece insights mais detalhados sobre o </w:t>
      </w:r>
      <w:r w:rsidRPr="009F73E2">
        <w:rPr>
          <w:rFonts w:ascii="Aptos" w:eastAsia="Aptos" w:hAnsi="Aptos" w:cs="Aptos"/>
          <w:highlight w:val="green"/>
        </w:rPr>
        <w:t>perfil dos clientes e a eficácia de campanhas de marketing</w:t>
      </w:r>
      <w:r w:rsidRPr="5041A8F0">
        <w:rPr>
          <w:rFonts w:ascii="Aptos" w:eastAsia="Aptos" w:hAnsi="Aptos" w:cs="Aptos"/>
        </w:rPr>
        <w:t xml:space="preserve">. 52,25% dos clientes são mulheres e a faixa etária mais representativa é a de 33 anos. São Paulo é a cidade com maior concentração de compradores, o que reforça nosso foco geográfico. Em termos de produtos, o "Sistema de Iluminação LED para Cultivo" continua sendo o mais popular. A análise de compras via cupom revela 102 utilizações, uma métrica relevante para avaliar a adesão às promoções. Esse </w:t>
      </w:r>
      <w:r w:rsidRPr="009F73E2">
        <w:rPr>
          <w:rFonts w:ascii="Aptos" w:eastAsia="Aptos" w:hAnsi="Aptos" w:cs="Aptos"/>
          <w:highlight w:val="green"/>
        </w:rPr>
        <w:t>dashboard também mostra a fidelidade de clientes, com um histórico das últimas compras, permitindo o acompanhamento de possíveis clientes recorrentes para futuras campanhas.</w:t>
      </w:r>
      <w:r w:rsidRPr="5041A8F0">
        <w:rPr>
          <w:rFonts w:ascii="Aptos" w:eastAsia="Aptos" w:hAnsi="Aptos" w:cs="Aptos"/>
        </w:rPr>
        <w:t xml:space="preserve"> Esses dados são essenciais para personalizar a comunicação e aumentar o engajamento dos clientes.</w:t>
      </w:r>
    </w:p>
    <w:p w14:paraId="01D96BB4" w14:textId="6D9BA707" w:rsidR="5041A8F0" w:rsidRDefault="5041A8F0" w:rsidP="5041A8F0">
      <w:pPr>
        <w:spacing w:line="276" w:lineRule="auto"/>
        <w:jc w:val="both"/>
        <w:rPr>
          <w:rFonts w:eastAsiaTheme="minorEastAsia"/>
        </w:rPr>
      </w:pPr>
    </w:p>
    <w:p w14:paraId="409B19C7" w14:textId="30A7CF50" w:rsidR="45D19227" w:rsidRDefault="45D19227" w:rsidP="5041A8F0">
      <w:pPr>
        <w:spacing w:line="276" w:lineRule="auto"/>
        <w:jc w:val="both"/>
      </w:pPr>
      <w:r w:rsidRPr="5041A8F0">
        <w:rPr>
          <w:rFonts w:ascii="Aptos" w:eastAsia="Aptos" w:hAnsi="Aptos" w:cs="Aptos"/>
          <w:b/>
          <w:bCs/>
        </w:rPr>
        <w:lastRenderedPageBreak/>
        <w:t>Resumo de Vendas 2024</w:t>
      </w:r>
    </w:p>
    <w:p w14:paraId="1F5D4280" w14:textId="306536AD" w:rsidR="45D19227" w:rsidRDefault="45D19227" w:rsidP="5041A8F0">
      <w:pPr>
        <w:spacing w:line="276" w:lineRule="auto"/>
        <w:jc w:val="both"/>
      </w:pPr>
      <w:r w:rsidRPr="5041A8F0">
        <w:rPr>
          <w:rFonts w:ascii="Aptos" w:eastAsia="Aptos" w:hAnsi="Aptos" w:cs="Aptos"/>
        </w:rPr>
        <w:t xml:space="preserve">O </w:t>
      </w:r>
      <w:r w:rsidRPr="009F73E2">
        <w:rPr>
          <w:rFonts w:ascii="Aptos" w:eastAsia="Aptos" w:hAnsi="Aptos" w:cs="Aptos"/>
          <w:highlight w:val="green"/>
        </w:rPr>
        <w:t>dashboard "Resumo de Vendas 2024" foca nos volumes e tendências de vendas ao longo do ano.</w:t>
      </w:r>
      <w:r w:rsidRPr="5041A8F0">
        <w:rPr>
          <w:rFonts w:ascii="Aptos" w:eastAsia="Aptos" w:hAnsi="Aptos" w:cs="Aptos"/>
        </w:rPr>
        <w:t xml:space="preserve"> Observamos uma consistência nas vendas mensais, com alguns picos notáveis em setembro e novembro, indicando períodos de alta demanda. São Paulo lidera o volume de vendas, seguido por Santos e Curitiba, destacando essas cidades como potenciais áreas para campanhas de marketing localizadas. Entre os produtos, o "Sistema de Iluminação LED para Cultivo" e o "Vaso Automatizado para 1 hortaliça" são os principais itens, evidenciando a necessidade de estratégias para comercialização dos produtos convencionais. A distribuição entre e-commerce e loja física é equilibrada, embora o e-commerce ainda seja o canal mais forte. Este dashboard oferece uma visão detalhada das operações e pode orientar decisões estratégicas para otimizar estoque e expandir o alcance da marca.</w:t>
      </w:r>
    </w:p>
    <w:p w14:paraId="16AD6FBB" w14:textId="2FB69151" w:rsidR="5041A8F0" w:rsidRDefault="5041A8F0" w:rsidP="5041A8F0">
      <w:pPr>
        <w:spacing w:line="276" w:lineRule="auto"/>
        <w:jc w:val="both"/>
        <w:rPr>
          <w:rFonts w:eastAsiaTheme="minorEastAsia"/>
        </w:rPr>
      </w:pPr>
    </w:p>
    <w:p w14:paraId="10680A9C" w14:textId="03A6CA52" w:rsidR="5041A8F0" w:rsidRDefault="5041A8F0" w:rsidP="5041A8F0">
      <w:pPr>
        <w:spacing w:line="276" w:lineRule="auto"/>
        <w:jc w:val="both"/>
        <w:rPr>
          <w:rFonts w:eastAsiaTheme="minorEastAsia"/>
        </w:rPr>
      </w:pPr>
    </w:p>
    <w:p w14:paraId="2E11CF33" w14:textId="375F9701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p w14:paraId="3D535F33" w14:textId="4B3AB080" w:rsidR="004925DD" w:rsidRDefault="004925DD" w:rsidP="5041A8F0">
      <w:pPr>
        <w:spacing w:line="276" w:lineRule="auto"/>
        <w:ind w:left="-566"/>
        <w:jc w:val="both"/>
        <w:rPr>
          <w:rFonts w:eastAsiaTheme="minorEastAsia"/>
          <w:color w:val="000000" w:themeColor="text1"/>
        </w:rPr>
      </w:pPr>
    </w:p>
    <w:sectPr w:rsidR="004925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ariana Domitila Padovani Martins" w:date="2024-11-18T20:06:00Z" w:initials="MP">
    <w:p w14:paraId="2171EE36" w14:textId="13F61259" w:rsidR="009F73E2" w:rsidRDefault="009F73E2">
      <w:pPr>
        <w:pStyle w:val="Textodecomentrio"/>
      </w:pPr>
      <w:r>
        <w:rPr>
          <w:rStyle w:val="Refdecomentrio"/>
        </w:rPr>
        <w:annotationRef/>
      </w:r>
      <w:r>
        <w:t>Em quais redes e criar um exemplo visual</w:t>
      </w:r>
    </w:p>
  </w:comment>
  <w:comment w:id="1" w:author="Mariana Domitila Padovani Martins" w:date="2024-11-18T20:07:00Z" w:initials="MP">
    <w:p w14:paraId="14E4EC21" w14:textId="1DF51067" w:rsidR="009F73E2" w:rsidRDefault="009F73E2" w:rsidP="009F73E2">
      <w:pPr>
        <w:pStyle w:val="Textodecomentrio"/>
      </w:pPr>
      <w:r>
        <w:rPr>
          <w:rStyle w:val="Refdecomentrio"/>
        </w:rPr>
        <w:annotationRef/>
      </w:r>
      <w:r>
        <w:t xml:space="preserve">Um exemplo de um influenciador </w:t>
      </w:r>
      <w:proofErr w:type="gramStart"/>
      <w:r>
        <w:t xml:space="preserve">e </w:t>
      </w:r>
      <w:r>
        <w:t>Em</w:t>
      </w:r>
      <w:proofErr w:type="gramEnd"/>
      <w:r>
        <w:t xml:space="preserve"> quais redes e criar um exemplo visual</w:t>
      </w:r>
    </w:p>
    <w:p w14:paraId="02A8E549" w14:textId="2D4361FD" w:rsidR="009F73E2" w:rsidRDefault="009F73E2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171EE36" w15:done="0"/>
  <w15:commentEx w15:paraId="02A8E5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A5FF733" w16cex:dateUtc="2024-11-18T23:06:00Z"/>
  <w16cex:commentExtensible w16cex:durableId="2C17B8C3" w16cex:dateUtc="2024-11-18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171EE36" w16cid:durableId="5A5FF733"/>
  <w16cid:commentId w16cid:paraId="02A8E549" w16cid:durableId="2C17B8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910FE2"/>
    <w:multiLevelType w:val="hybridMultilevel"/>
    <w:tmpl w:val="E6AAAD42"/>
    <w:lvl w:ilvl="0" w:tplc="431E3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29B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14D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445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9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CC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6C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EA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B2F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5908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riana Domitila Padovani Martins">
    <w15:presenceInfo w15:providerId="Windows Live" w15:userId="a811c64e5a80b0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62B391"/>
    <w:rsid w:val="004925DD"/>
    <w:rsid w:val="00596244"/>
    <w:rsid w:val="009F73E2"/>
    <w:rsid w:val="00B07D55"/>
    <w:rsid w:val="00D04AAF"/>
    <w:rsid w:val="00FD22E6"/>
    <w:rsid w:val="0365701C"/>
    <w:rsid w:val="0AED634E"/>
    <w:rsid w:val="45D19227"/>
    <w:rsid w:val="5041A8F0"/>
    <w:rsid w:val="6A62B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B391"/>
  <w15:chartTrackingRefBased/>
  <w15:docId w15:val="{904204EF-D460-414C-8B41-A2EB74BF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F73E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F73E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F73E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F73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F73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2087</Words>
  <Characters>11273</Characters>
  <Application>Microsoft Office Word</Application>
  <DocSecurity>0</DocSecurity>
  <Lines>93</Lines>
  <Paragraphs>26</Paragraphs>
  <ScaleCrop>false</ScaleCrop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KOCKS NOGUEIRA</dc:creator>
  <cp:keywords/>
  <dc:description/>
  <cp:lastModifiedBy>Mariana Domitila Padovani Martins</cp:lastModifiedBy>
  <cp:revision>2</cp:revision>
  <dcterms:created xsi:type="dcterms:W3CDTF">2024-11-18T23:09:00Z</dcterms:created>
  <dcterms:modified xsi:type="dcterms:W3CDTF">2024-11-18T23:09:00Z</dcterms:modified>
</cp:coreProperties>
</file>