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 w:before="0" w:after="0"/>
        <w:jc w:val="center"/>
      </w:pPr>
      <w:r>
        <w:t>CENTRO ESTADUAL DE EDUCAÇÃO TECNOLÓGICA “PAULA SOUZA”</w:t>
      </w:r>
    </w:p>
    <w:p>
      <w:pPr>
        <w:ind w:firstLine="0"/>
        <w:spacing w:before="0" w:after="0"/>
        <w:jc w:val="center"/>
      </w:pPr>
      <w:r>
        <w:t xml:space="preserve">FACULDADE DE TECNOLOGIA DE VOTORANTIM </w:t>
      </w:r>
      <w:bookmarkStart w:id="0" w:name="_Hlk213267519"/>
      <w:r>
        <w:t>BENEDICTO PAGLIATO</w:t>
      </w:r>
      <w:bookmarkEnd w:id="0"/>
      <w:r/>
    </w:p>
    <w:p>
      <w:pPr>
        <w:ind w:firstLine="0"/>
        <w:spacing w:before="0" w:after="0"/>
        <w:jc w:val="center"/>
      </w:pPr>
      <w:r>
        <w:t>CURSO SUPERIOR DE TECNOLOGIA EM CIÊNCIA DE DADOS PARA NEGÓCIOS</w:t>
      </w:r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>
        <w:rPr>
          <w:b/>
          <w:bCs/>
        </w:rPr>
        <w:t xml:space="preserve">PI E PROPRIEDADE INTELECTUAL: </w:t>
      </w:r>
      <w:r>
        <w:t>CLASSIFICAÇÃO HISTÓRICA DE OCORRÊNCIAS DE VIOLÊNCIA CONTRA A MULHER EM SOROCABA E VOTORANTIM</w:t>
      </w:r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>
        <w:t>DÉBORA KOCKS NOGUEIRA</w:t>
      </w:r>
    </w:p>
    <w:p>
      <w:pPr>
        <w:ind w:firstLine="0"/>
        <w:spacing w:before="0" w:after="0"/>
        <w:jc w:val="center"/>
      </w:pPr>
      <w:r>
        <w:t>STEFANIE MAYUMI INACIO KOBAYASHI</w:t>
      </w:r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/>
    </w:p>
    <w:p>
      <w:pPr>
        <w:ind w:firstLine="0"/>
        <w:spacing w:before="0" w:after="0"/>
        <w:jc w:val="center"/>
      </w:pPr>
      <w:r>
        <w:t>VOTORANTIM – SP</w:t>
      </w:r>
    </w:p>
    <w:p>
      <w:pPr>
        <w:ind w:firstLine="0"/>
        <w:spacing w:before="0" w:after="0"/>
        <w:jc w:val="center"/>
      </w:pPr>
      <w:r>
        <w:t>2026</w:t>
      </w:r>
    </w:p>
    <w:p>
      <w:pPr>
        <w:spacing w:before="0" w:after="0"/>
      </w:pPr>
      <w:r>
        <w:br w:type="page"/>
      </w:r>
      <w:r>
        <w:rPr>
          <w:b/>
        </w:rPr>
        <w:t>1. Cite e verifique as licenças do seu PI.</w:t>
      </w:r>
      <w:r/>
    </w:p>
    <w:p>
      <w:pPr>
        <w:spacing w:after="160"/>
      </w:pPr>
      <w:r>
        <w:t>A solução desenvolvida no PI6 é composta por um pipeline de engenharia de dados (ETL) executado em ambiente Lakehouse (Databricks), zoneamento algorítmico dos bairros de Sorocaba e Votorantim em cinco zonas por município (Norte, Sul, Leste, Oeste e Centro), classificação da incidência histórica de ocorrências por modelos de Machine Learning e rastreabilidade de experimentos. A verificação de cada componente, biblioteca e conjunto de dados empregado no projeto identificou o quadro de licenciamento a seguir:</w:t>
      </w:r>
    </w:p>
    <w:tbl>
      <w:tblPr>
        <w:tblStyle w:val="TableGrid"/>
        <w:name w:val="Tabela1"/>
        <w:tabOrder w:val="0"/>
        <w:jc w:val="left"/>
        <w:tblInd w:w="0" w:type="dxa"/>
        <w:tblW w:w="8504" w:type="dxa"/>
        <w:pPr>
          <w:spacing/>
          <w:jc w:val="left"/>
        </w:pPr>
        <w:tblLook w:val="04A0" w:firstRow="1" w:lastRow="0" w:firstColumn="1" w:lastColumn="0" w:noHBand="0" w:noVBand="1"/>
      </w:tblPr>
      <w:tblGrid>
        <w:gridCol w:w="1765"/>
        <w:gridCol w:w="1860"/>
        <w:gridCol w:w="1465"/>
        <w:gridCol w:w="3414"/>
      </w:tblGrid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Componente / Ativo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Função Técnica no PI6</w:t>
            </w:r>
            <w:r>
              <w:rPr>
                <w:sz w:val="20"/>
                <w:szCs w:val="20"/>
              </w:rPr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Licença de Uso</w:t>
            </w:r>
            <w:r>
              <w:rPr>
                <w:sz w:val="20"/>
                <w:szCs w:val="20"/>
              </w:rPr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Natureza Jurídica e Obrigações</w:t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 (3.9+)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Linguagem base e ambiente de execução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PSF License (Python Software Foundation)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 de código aberto. Permite uso comercial e acadêmico, modificação e distribuição de obras derivadas sem abertura do código. Exige manutenção do aviso de copyright original.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Pandas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Manipulação tabular e agregações intermediárias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BSD 3-Clause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Autoriza distribuição em formato fonte ou binário, com ou sem modificações. Exige preservação de copyright e disclaimer de garantia.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PySpark / Apache Spark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Processamento distribuído e transformações no Lakehouse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License, Version 2.0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Concede licença explícita de direitos autorais e de patentes. Permite integração com sistemas proprietários, sem efeito copyleft; exige preservação dos avisos de licença (arquivo NOTICE).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Delta Lake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Camada de persistência ACID no Databricks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License 2.0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permissiva, projeto mantido sob a Linux Foundation. Compatível com uso em ambiente corporativo fechado.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GeoPandas &amp; Shapely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Cálculos de geometria espacial, centróides e zoneamento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BSD 3-Clause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Permissiva. Não impõe reciprocidade obrigatória. Requer manutenção do aviso de direitos autorais.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OpenStreetMap (OSM) / Overpass API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Localização dos bairros (coordenadas lat/lon) usada no zoneamento algorítmico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ODbL v1.0 (Open Database License)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de banco de dados aberto, com cláusula share-alike: bases de dados derivadas que forem disponibilizadas publicamente devem manter a ODbL. Para “Trabalhos Produzidos” (Produced Work), como mapas, gráficos e relatórios, exige apenas atribuição: “© Contribuidores do OpenStreetMap”.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RapidFuzz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Fuzzy matching textual para padronização de bairros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Permite uso, cópia, modificação e sublicenciamento, exigindo apenas a manutenção do aviso de copyright.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Scikit-learn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Árvores de Decisão, Random Forest e métricas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BSD 3-Clause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Exige preservação do aviso de copyright e do disclaimer de garantia.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XGBoost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Classificador Gradient Boosting e busca de hiperparâmetros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License 2.0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Permite uso em ambiente governamental ou corporativo fechado sem abertura de código.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MLflow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Rastreamento de experimentos, métricas e artefatos de IA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License 2.0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 permissiva. Projeto desenvolvido originalmente pela Databricks e mantido como código aberto.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Matplotlib &amp; Seaborn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Geração de gráficos na Análise Exploratória (EDA)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Matplotlib License / BSD 3-Clause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Licenças permissivas de código aberto (a licença do Matplotlib é baseada na PSF License).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Openpyxl, python-calamine &amp; Pyogrio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Leitura das planilhas .xlsx da SSP-SP e dos shapefiles do IBGE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Licenças permissivas. Exigem apenas a manutenção do aviso de copyright.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Requests &amp; Urllib3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com endpoints e download automatizado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2.0 / MIT License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Licenças permissivas padrão da comunidade open source.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Databricks / Unity Catalog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Workspace de nuvem e governança de dados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EULA Proprietária (SaaS Databricks)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como Serviço. Os termos de uso preveem que o cliente mantém a titularidade sobre os códigos, modelos e tabelas que produz na plataforma.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GitHub &amp; ClickUp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Versionamento de código e gestão ágil de tarefas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Termos de Serviço (SaaS)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Plataformas SaaS comerciais. Não reivindicam propriedade intelectual sobre os repositórios e artefatos dos usuários.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SSP-SP (Microdados)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Registros policiais das DDMs de Sorocaba e Votorantim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Abertos / LAI (Lei nº 12.527/2011)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públicos de transparência ativa da SSP-SP, disponibilizados no site da Secretaria. Uso livre, com dever de citação da fonte e de preservação da integridade dos dados.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7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IBGE (Censo 2022)</w:t>
            </w:r>
            <w:r>
              <w:rPr>
                <w:sz w:val="20"/>
                <w:szCs w:val="20"/>
              </w:rPr>
            </w:r>
          </w:p>
        </w:tc>
        <w:tc>
          <w:tcPr>
            <w:tcW w:w="1860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População e malha territorial dos setores censitários</w:t>
            </w:r>
          </w:p>
        </w:tc>
        <w:tc>
          <w:tcPr>
            <w:tcW w:w="1465" w:type="dxa"/>
            <w:tmTcPr id="1791163310" protected="0"/>
          </w:tcPr>
          <w:p>
            <w:pPr>
              <w:ind w:firstLine="0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Política de Dados Abertos do IBGE</w:t>
            </w:r>
          </w:p>
        </w:tc>
        <w:tc>
          <w:tcPr>
            <w:tcW w:w="3414" w:type="dxa"/>
            <w:tmTcPr id="1791163310" protected="0"/>
          </w:tcPr>
          <w:p>
            <w:pPr>
              <w:ind w:firstLine="6"/>
              <w: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abertos oficiais. Acesso livre e gratuito mediante citação da fonte.</w:t>
            </w:r>
          </w:p>
        </w:tc>
      </w:tr>
    </w:tbl>
    <w:p>
      <w:pPr>
        <w:spacing w:after="80"/>
      </w:pPr>
      <w:r/>
    </w:p>
    <w:p>
      <w:pPr>
        <w:spacing w:after="240"/>
      </w:pPr>
      <w:r>
        <w:rPr>
          <w:b/>
        </w:rPr>
        <w:t xml:space="preserve">Conclusão: </w:t>
      </w:r>
      <w:r>
        <w:t>Todas as bibliotecas de software utilizadas no projeto possuem licenças permissivas (PSF, BSD, MIT e Apache 2.0), sem cobrança de royalties nem cláusulas copyleft. As plataformas Databricks, GitHub e ClickUp são serviços proprietários (SaaS) utilizados sob termos de uso, mas não reivindicam titularidade sobre os artefatos produzidos pelo grupo. Quanto aos dados, as fontes primárias (SSP-SP e IBGE) são dados abertos governamentais (Lei de Acesso à Informação), e os dados do OpenStreetMap seguem a ODbL, que exige atribuição da fonte.</w:t>
      </w:r>
    </w:p>
    <w:p>
      <w:pPr>
        <w:spacing w:after="240"/>
      </w:pPr>
      <w:r/>
    </w:p>
    <w:p>
      <w:pPr>
        <w:spacing w:before="240"/>
      </w:pPr>
      <w:r>
        <w:rPr>
          <w:b/>
        </w:rPr>
        <w:t>2. As licenças foram compatíveis com as políticas da empresa estudada no PI?</w:t>
      </w:r>
      <w:r/>
    </w:p>
    <w:p>
      <w:pPr>
        <w:spacing w:before="240"/>
      </w:pPr>
      <w:r>
        <w:t>Conforme detalhado no Capítulo 2 do Relatório Técnico, a entidade parceira estudada é a Delegacia de Defesa da Mulher (DDM) de Sorocaba, com extensão territorial para a DDM de Votorantim, órgão integrante da Polícia Civil do Estado de São Paulo e vinculado à Secretaria da Segurança Pública (SSP-SP). O PI6 utiliza tecnologias como Python, Pandas, PySpark, GeoPandas, Shapely, RapidFuzz, Scikit-learn, XGBoost, Databricks, Delta Lake, Unity Catalog e MLflow.</w:t>
      </w:r>
    </w:p>
    <w:p>
      <w:pPr>
        <w:spacing w:before="240"/>
      </w:pPr>
      <w:r>
        <w:t>A análise das licenças utilizadas indica compatibilidade com a finalidade proposta no projeto, considerando os seguintes aspectos:</w:t>
      </w:r>
    </w:p>
    <w:p>
      <w:pPr>
        <w:spacing w:before="240"/>
      </w:pPr>
      <w:r>
        <w:t xml:space="preserve">• </w:t>
      </w:r>
      <w:r>
        <w:rPr>
          <w:b/>
          <w:bCs/>
        </w:rPr>
        <w:t>Uso de Software Livre e licenças permissivas:</w:t>
      </w:r>
      <w:r>
        <w:t xml:space="preserve"> a maior parte das tecnologias utilizadas possui licenças de código aberto Apache 2.0, MIT e BSD. Essas são licenças permissivas, ou seja, permitem utilizar, copiar, modificar e distribuir o software, desde que sejam respeitadas as condições previstas em cada licença (em geral, a manutenção dos avisos de copyright e de licença). Essas licenças não obrigam que o código desenvolvido pelo grupo seja disponibilizado publicamente. Dessa forma, seu uso não cria, por si só, uma obrigação de abertura do código do PI6.</w:t>
      </w:r>
    </w:p>
    <w:p>
      <w:pPr>
        <w:spacing w:before="240"/>
      </w:pPr>
      <w:r>
        <w:rPr>
          <w:b/>
          <w:bCs/>
        </w:rPr>
        <w:t>• Proteção de dados e LGPD:</w:t>
      </w:r>
      <w:r>
        <w:t xml:space="preserve"> a Polícia Civil tem o dever de resguardar a intimidade e os dados das vítimas de violência doméstica (Lei nº 11.340/2006 – Lei Maria da Penha), e o tratamento de dados no projeto deve observar a LGPD (Lei nº 13.709/2018). O PI6 não utiliza dados pessoais nominais ou individualizantes das vítimas: os microdados da SSP-SP, disponibilizados publicamente no site da Secretaria, não contêm campos de identificação da vítima (nome, idade ou documento). As análises e os resultados do projeto trabalham com os registros agregados por zona (cinco zonas por município, dez no total), sem expor endereços de ocorrências. Além disso, zonas com menos de 5 ocorrências no período não são classificadas e ficam marcadas como “Dados Insuficientes”. Essa regra foi adotada para garantir estabilidade estatística à taxa por 10 mil habitantes, mas também reduz o risco de reidentificação. Dados agregados dessa forma são anonimizados e, nos termos do art. 12 da LGPD, não são considerados dados pessoais.</w:t>
      </w:r>
    </w:p>
    <w:p>
      <w:pPr>
        <w:spacing w:before="240"/>
      </w:pPr>
      <w:r>
        <w:t xml:space="preserve">• </w:t>
      </w:r>
      <w:r>
        <w:rPr>
          <w:b/>
          <w:bCs/>
        </w:rPr>
        <w:t>OpenStreetMap e licença ODbL:</w:t>
      </w:r>
      <w:r>
        <w:t xml:space="preserve"> os dados geográficos utilizados do OpenStreetMap possuem condições próprias de licenciamento. A ODbL (Open Database License) permite o uso e a adaptação dos dados, mas estabelece obrigações específicas, como atribuição da fonte e regras para determinadas bases de dados derivadas. Portanto, suas condições devem ser observadas separadamente das licenças de software MIT e BSD.</w:t>
      </w:r>
    </w:p>
    <w:p>
      <w:pPr>
        <w:spacing w:before="240"/>
      </w:pPr>
      <w:r>
        <w:t xml:space="preserve">• </w:t>
      </w:r>
      <w:r>
        <w:rPr>
          <w:b/>
          <w:bCs/>
        </w:rPr>
        <w:t>Governança e rastreabilidade:</w:t>
      </w:r>
      <w:r>
        <w:t xml:space="preserve"> o PI6 utiliza Databricks, Delta Lake, Unity Catalog e MLflow, além do versionamento do código por meio do GitHub. Essas ferramentas contribuem para a organização, rastreabilidade e reprodução das etapas do projeto.</w:t>
      </w:r>
    </w:p>
    <w:p>
      <w:pPr>
        <w:spacing w:before="240"/>
      </w:pPr>
      <w:r>
        <w:t xml:space="preserve">• </w:t>
      </w:r>
      <w:r>
        <w:rPr>
          <w:b/>
          <w:bCs/>
        </w:rPr>
        <w:t>Transferência tecnológica:</w:t>
      </w:r>
      <w:r>
        <w:t xml:space="preserve"> as licenças permissivas dos componentes de terceiros permitem sua utilização e manutenção dentro das condições de cada licença. Em uma eventual transferência dos notebooks, da documentação e dos modelos para a DDM, os artefatos próprios do PI6 devem ser diferenciados dos componentes de terceiros. O código desenvolvido pelo grupo é mantido em repositório privado no GitHub, com todos os direitos reservados às autoras, e sua eventual disponibilização dependerá de decisão das autoras e da instituição.</w:t>
      </w:r>
    </w:p>
    <w:p>
      <w:pPr>
        <w:spacing w:before="240"/>
      </w:pPr>
      <w:r/>
    </w:p>
    <w:p>
      <w:pPr>
        <w:spacing w:before="240"/>
      </w:pPr>
      <w:r>
        <w:rPr>
          <w:b/>
          <w:bCs/>
        </w:rPr>
        <w:t>Conclusão:</w:t>
      </w:r>
      <w:r>
        <w:t xml:space="preserve"> as licenças analisadas são compatíveis com a utilização proposta no PI6, não tendo sido identificada uma licença de software que obrigue a abertura do código desenvolvido pelo grupo. </w:t>
      </w:r>
    </w:p>
    <w:p>
      <w:pPr>
        <w:spacing w:before="240"/>
      </w:pPr>
      <w:r/>
    </w:p>
    <w:p>
      <w:r/>
    </w:p>
    <w:p>
      <w:pPr>
        <w:spacing w:before="240"/>
      </w:pPr>
      <w:r>
        <w:br w:type="page"/>
      </w:r>
      <w:r>
        <w:rPr>
          <w:b/>
        </w:rPr>
        <w:t>3. Alguma licença utilizada exige abertura compulsória do código proprietário (red flag)?</w:t>
      </w:r>
      <w:r/>
    </w:p>
    <w:p>
      <w:pPr>
        <w:rPr>
          <w:bCs/>
        </w:rPr>
      </w:pPr>
      <w:r>
        <w:rPr>
          <w:bCs/>
        </w:rPr>
        <w:t>Não. Não foi identificada, entre as licenças analisadas no PI6, nenhuma licença que imponha a abertura compulsória do código-fonte proprietário da solução. Dessa forma, não foram identificadas red flags de licenciamento relacionadas à abertura obrigatória do código-fonte.</w:t>
      </w:r>
    </w:p>
    <w:p>
      <w:r>
        <w:br w:type="textWrapping"/>
        <w:t>Análise técnica e jurídica:</w:t>
      </w:r>
    </w:p>
    <w:p>
      <w:pPr>
        <w:pStyle w:val="para11"/>
        <w:numPr>
          <w:ilvl w:val="0"/>
          <w:numId w:val="3"/>
        </w:numPr>
        <w:ind w:left="0" w:firstLine="0"/>
        <w:spacing w:before="0"/>
      </w:pPr>
      <w:r>
        <w:rPr>
          <w:b/>
          <w:bCs/>
        </w:rPr>
        <w:t xml:space="preserve">Licenças MIT, BSD e Apache 2.0: </w:t>
      </w:r>
      <w:r>
        <w:t>são licenças permissivas. Permitem utilizar, modificar e distribuir os componentes, sem impor, de forma geral, a obrigação de disponibilizar publicamente o código desenvolvido a partir deles. Portanto, seu uso no PI6 não gera, por si só, obrigação de abertura do código proprietário.</w:t>
      </w:r>
    </w:p>
    <w:p>
      <w:pPr>
        <w:pStyle w:val="para11"/>
        <w:numPr>
          <w:ilvl w:val="0"/>
          <w:numId w:val="3"/>
        </w:numPr>
        <w:ind w:left="0" w:firstLine="0"/>
        <w:spacing w:before="0"/>
      </w:pPr>
      <w:r>
        <w:rPr>
          <w:b/>
          <w:bCs/>
        </w:rPr>
        <w:t>Ausência de licenças de copyleft forte:</w:t>
      </w:r>
      <w:r>
        <w:t xml:space="preserve"> licenças como GPL e AGPL possuem obrigações de reciprocidade mais rigorosas e, dependendo da forma de utilização e distribuição, podem exigir a disponibilização do código-fonte correspondente. Não foram identificadas essas licenças entre os componentes analisados do PI6.</w:t>
      </w:r>
    </w:p>
    <w:p>
      <w:pPr>
        <w:pStyle w:val="para11"/>
        <w:numPr>
          <w:ilvl w:val="0"/>
          <w:numId w:val="3"/>
        </w:numPr>
        <w:ind w:left="0" w:firstLine="0"/>
        <w:spacing w:before="0"/>
      </w:pPr>
      <w:r>
        <w:rPr>
          <w:b/>
          <w:bCs/>
        </w:rPr>
        <w:t xml:space="preserve">OpenStreetMap e ODbL: </w:t>
      </w:r>
      <w:r>
        <w:t>a ODbL é uma licença de banco de dados, e não uma licença de software. Ela possui obrigações específicas de compartilhamento para determinadas bases de dados derivadas. Isso não significa que o código-fonte dos algoritmos, modelos de machine learning ou aplicação desenvolvidos no PI6 tenha que ser aberto. No caso do projeto, devem ser observadas as condições de atribuição e demais obrigações aplicáveis ao uso dos dados do OpenStreetMap.</w:t>
      </w:r>
    </w:p>
    <w:p>
      <w:pPr>
        <w:pStyle w:val="para11"/>
        <w:numPr>
          <w:ilvl w:val="1"/>
          <w:numId w:val="3"/>
        </w:numPr>
        <w:ind w:left="0" w:firstLine="0"/>
        <w:spacing w:before="0" w:after="0"/>
      </w:pPr>
      <w:r>
        <w:rPr>
          <w:b/>
        </w:rPr>
        <w:t xml:space="preserve">Preservação da titularidade: </w:t>
      </w:r>
      <w:r>
        <w:t>como não existe exigência de abertura compulsória, a decisão sobre o destino do código cabe às autoras. Pela Lei nº 9.609/1998 (Lei de Software), a autoria do programa é das alunas desenvolvedoras, e sua titularidade deve observar as normas de propriedade intelectual do Centro Paula Souza; a DDM e a Polícia Civil não detêm direitos sobre o software sem um instrumento formal de cessão ou licenciamento. O grupo pode manter o código restrito, licenciá-lo à DDM para uso no planejamento de segurança pública, registrá-lo no INPI (registro facultativo, pois a proteção independe dele, conforme o art. 2º, § 3º, da Lei nº 9.609/1998) ou publicá-lo sob uma licença de código aberto, sem qualquer imposição de terceiros.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type w:val="nextPage"/>
      <w:pgSz w:h="16838" w:w="11906"/>
      <w:pgMar w:left="1701" w:top="1134" w:right="1701" w:bottom="1134" w:header="709" w:footer="0"/>
      <w:paperSrc w:first="0" w:other="0" a="0" b="0"/>
      <w:pgNumType w:fmt="decimal"/>
      <w:tmGutter w:val="3"/>
      <w:mirrorMargins w:val="0"/>
      <w:tmSection w:h="-2">
        <w:tmHeader w:id="0" w:h="0" edge="709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swiss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spacing/>
      <w:jc w:val="right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405" w:hanging="0"/>
      </w:pPr>
    </w:lvl>
    <w:lvl w:ilvl="2">
      <w:start w:val="1"/>
      <w:numFmt w:val="decimal"/>
      <w:suff w:val="tab"/>
      <w:lvlText w:val="%1.%2.%3"/>
      <w:lvlJc w:val="left"/>
      <w:pPr>
        <w:ind w:left="810" w:hanging="0"/>
      </w:pPr>
    </w:lvl>
    <w:lvl w:ilvl="3">
      <w:start w:val="1"/>
      <w:numFmt w:val="decimal"/>
      <w:suff w:val="tab"/>
      <w:lvlText w:val="%1.%2.%3.%4"/>
      <w:lvlJc w:val="left"/>
      <w:pPr>
        <w:ind w:left="1215" w:hanging="0"/>
      </w:pPr>
    </w:lvl>
    <w:lvl w:ilvl="4">
      <w:start w:val="1"/>
      <w:numFmt w:val="decimal"/>
      <w:suff w:val="tab"/>
      <w:lvlText w:val="%1.%2.%3.%4.%5"/>
      <w:lvlJc w:val="left"/>
      <w:pPr>
        <w:ind w:left="1620" w:hanging="0"/>
      </w:pPr>
    </w:lvl>
    <w:lvl w:ilvl="5">
      <w:start w:val="1"/>
      <w:numFmt w:val="decimal"/>
      <w:suff w:val="tab"/>
      <w:lvlText w:val="%1.%2.%3.%4.%5.%6"/>
      <w:lvlJc w:val="left"/>
      <w:pPr>
        <w:ind w:left="2025" w:hanging="0"/>
      </w:pPr>
    </w:lvl>
    <w:lvl w:ilvl="6">
      <w:start w:val="1"/>
      <w:numFmt w:val="decimal"/>
      <w:suff w:val="tab"/>
      <w:lvlText w:val="%1.%2.%3.%4.%5.%6.%7"/>
      <w:lvlJc w:val="left"/>
      <w:pPr>
        <w:ind w:left="2430" w:hanging="0"/>
      </w:pPr>
    </w:lvl>
    <w:lvl w:ilvl="7">
      <w:start w:val="1"/>
      <w:numFmt w:val="decimal"/>
      <w:suff w:val="tab"/>
      <w:lvlText w:val="%1.%2.%3.%4.%5.%6.%7.%8"/>
      <w:lvlJc w:val="left"/>
      <w:pPr>
        <w:ind w:left="2835" w:hanging="0"/>
      </w:pPr>
    </w:lvl>
    <w:lvl w:ilvl="8">
      <w:start w:val="1"/>
      <w:numFmt w:val="decimal"/>
      <w:suff w:val="tab"/>
      <w:lvlText w:val="%1.%2.%3.%4.%5.%6.%7.%8.%9"/>
      <w:lvlJc w:val="left"/>
      <w:pPr>
        <w:ind w:left="324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•"/>
      <w:lvlJc w:val="left"/>
      <w:pPr>
        <w:ind w:left="1080" w:hanging="0"/>
      </w:pPr>
      <w:rPr>
        <w:rFonts w:ascii="Arial" w:hAnsi="Arial" w:eastAsia="Calibri" w:cs="Arial"/>
        <w:b/>
        <w:sz w:val="24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Lista numerada 4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52"/>
      <w:tmLastPosIdx w:val="28"/>
    </w:tmLastPosCaret>
    <w:tmLastPosAnchor>
      <w:tmLastPosPgfIdx w:val="0"/>
      <w:tmLastPosIdx w:val="0"/>
    </w:tmLastPosAnchor>
    <w:tmLastPosTblRect w:left="0" w:top="0" w:right="0" w:bottom="0"/>
  </w:tmLastPos>
  <w:tmAppRevision w:date="1791163310" w:val="123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4"/>
        <w:szCs w:val="24"/>
        <w:lang w:val="pt-br" w:eastAsia="en-us" w:bidi="ar-sa"/>
      </w:rPr>
    </w:rPrDefault>
    <w:pPrDefault>
      <w:pPr>
        <w:ind w:firstLine="709"/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 w:after="0"/>
      <w:keepNext/>
      <w:outlineLvl w:val="2"/>
      <w:keepLines/>
    </w:pPr>
    <w:rPr>
      <w:color w:val="1f3763"/>
    </w:rPr>
  </w:style>
  <w:style w:type="paragraph" w:styleId="para4">
    <w:name w:val="Header"/>
    <w:qFormat/>
    <w:basedOn w:val="para0"/>
    <w:pPr>
      <w:spacing w:before="0"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5">
    <w:name w:val="Footer"/>
    <w:qFormat/>
    <w:basedOn w:val="para0"/>
    <w:pPr>
      <w:spacing w:before="0"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6">
    <w:name w:val="TOC Heading"/>
    <w:qFormat/>
    <w:basedOn w:val="para1"/>
    <w:next w:val="para0"/>
    <w:pPr>
      <w:ind w:firstLine="0"/>
      <w:spacing w:line="259" w:lineRule="auto"/>
      <w:jc w:val="left"/>
      <w:outlineLvl w:val="9"/>
    </w:pPr>
    <w:rPr>
      <w:lang w:eastAsia="pt-br"/>
    </w:rPr>
  </w:style>
  <w:style w:type="paragraph" w:styleId="para7">
    <w:name w:val="toc 1"/>
    <w:qFormat/>
    <w:basedOn w:val="para0"/>
    <w:next w:val="para0"/>
    <w:pPr>
      <w:ind w:firstLine="0"/>
      <w:spacing w:after="100"/>
      <w:tabs defTabSz="708">
        <w:tab w:val="right" w:pos="8494" w:leader="dot"/>
      </w:tabs>
    </w:pPr>
  </w:style>
  <w:style w:type="paragraph" w:styleId="para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9" w:customStyle="1">
    <w:name w:val="annotation subject"/>
    <w:qFormat/>
    <w:basedOn w:val="para8"/>
    <w:next w:val="para8"/>
    <w:rPr>
      <w:b/>
      <w:bCs/>
    </w:rPr>
  </w:style>
  <w:style w:type="paragraph" w:styleId="para10">
    <w:name w:val="Balloon Text"/>
    <w:qFormat/>
    <w:basedOn w:val="para0"/>
    <w:pPr>
      <w:spacing w:before="0" w:after="0" w:line="240" w:lineRule="auto"/>
    </w:pPr>
    <w:rPr>
      <w:sz w:val="18"/>
      <w:szCs w:val="18"/>
    </w:rPr>
  </w:style>
  <w:style w:type="paragraph" w:styleId="para11">
    <w:name w:val="List Paragraph"/>
    <w:qFormat/>
    <w:basedOn w:val="para0"/>
    <w:pPr>
      <w:ind w:left="720"/>
      <w:contextualSpacing/>
    </w:pPr>
  </w:style>
  <w:style w:type="paragraph" w:styleId="para12">
    <w:name w:val="toc 2"/>
    <w:qFormat/>
    <w:basedOn w:val="para0"/>
    <w:next w:val="para0"/>
    <w:pPr>
      <w:ind w:left="220"/>
      <w:spacing w:after="100"/>
    </w:pPr>
  </w:style>
  <w:style w:type="paragraph" w:styleId="para13">
    <w:name w:val="toc 3"/>
    <w:qFormat/>
    <w:basedOn w:val="para0"/>
    <w:next w:val="para0"/>
    <w:pPr>
      <w:ind w:left="440"/>
      <w:spacing w:after="100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 w:customStyle="1">
    <w:name w:val="Cabeçalho Char"/>
    <w:basedOn w:val="char0"/>
  </w:style>
  <w:style w:type="character" w:styleId="char4" w:customStyle="1">
    <w:name w:val="Rodapé Char"/>
    <w:basedOn w:val="char0"/>
  </w:style>
  <w:style w:type="character" w:styleId="char5" w:customStyle="1">
    <w:name w:val="Título 1 Char"/>
    <w:basedOn w:val="char0"/>
    <w:rPr>
      <w:rFonts w:ascii="Arial" w:hAnsi="Arial" w:eastAsia="Arial" w:cs="Arial"/>
      <w:color w:val="2f5496"/>
      <w:sz w:val="32"/>
      <w:szCs w:val="32"/>
    </w:rPr>
  </w:style>
  <w:style w:type="character" w:styleId="char6" w:customStyle="1">
    <w:name w:val="annotation reference"/>
    <w:basedOn w:val="char0"/>
    <w:rPr>
      <w:sz w:val="16"/>
      <w:szCs w:val="16"/>
    </w:rPr>
  </w:style>
  <w:style w:type="character" w:styleId="char7" w:customStyle="1">
    <w:name w:val="Texto de comentário Char"/>
    <w:basedOn w:val="char0"/>
    <w:rPr>
      <w:sz w:val="20"/>
      <w:szCs w:val="20"/>
    </w:rPr>
  </w:style>
  <w:style w:type="character" w:styleId="char8" w:customStyle="1">
    <w:name w:val="Assunto do comentário Char"/>
    <w:basedOn w:val="char7"/>
    <w:rPr>
      <w:b/>
      <w:bCs/>
      <w:sz w:val="20"/>
      <w:szCs w:val="20"/>
    </w:rPr>
  </w:style>
  <w:style w:type="character" w:styleId="char9" w:customStyle="1">
    <w:name w:val="Texto de balão Char"/>
    <w:basedOn w:val="char0"/>
    <w:rPr>
      <w:rFonts w:ascii="Arial" w:hAnsi="Arial" w:eastAsia="Arial" w:cs="Arial"/>
      <w:sz w:val="18"/>
      <w:szCs w:val="18"/>
    </w:rPr>
  </w:style>
  <w:style w:type="character" w:styleId="char10" w:customStyle="1">
    <w:name w:val="Título 2 Char"/>
    <w:basedOn w:val="char0"/>
    <w:rPr>
      <w:rFonts w:ascii="Arial" w:hAnsi="Arial" w:eastAsia="Arial" w:cs="Arial"/>
      <w:color w:val="2f5496"/>
      <w:sz w:val="26"/>
      <w:szCs w:val="26"/>
    </w:rPr>
  </w:style>
  <w:style w:type="character" w:styleId="char11" w:customStyle="1">
    <w:name w:val="Título 3 Char"/>
    <w:basedOn w:val="char0"/>
    <w:rPr>
      <w:rFonts w:ascii="Arial" w:hAnsi="Arial" w:eastAsia="Arial" w:cs="Arial"/>
      <w:color w:val="1f3763"/>
      <w:sz w:val="24"/>
      <w:szCs w:val="2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before="0"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4"/>
        <w:szCs w:val="24"/>
        <w:lang w:val="pt-br" w:eastAsia="en-us" w:bidi="ar-sa"/>
      </w:rPr>
    </w:rPrDefault>
    <w:pPrDefault>
      <w:pPr>
        <w:ind w:firstLine="709"/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 w:after="0"/>
      <w:keepNext/>
      <w:outlineLvl w:val="2"/>
      <w:keepLines/>
    </w:pPr>
    <w:rPr>
      <w:color w:val="1f3763"/>
    </w:rPr>
  </w:style>
  <w:style w:type="paragraph" w:styleId="para4">
    <w:name w:val="Header"/>
    <w:qFormat/>
    <w:basedOn w:val="para0"/>
    <w:pPr>
      <w:spacing w:before="0"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5">
    <w:name w:val="Footer"/>
    <w:qFormat/>
    <w:basedOn w:val="para0"/>
    <w:pPr>
      <w:spacing w:before="0" w:after="0" w:line="240" w:lineRule="auto"/>
      <w:tabs defTabSz="708">
        <w:tab w:val="center" w:pos="4252" w:leader="none"/>
        <w:tab w:val="right" w:pos="8504" w:leader="none"/>
      </w:tabs>
    </w:pPr>
  </w:style>
  <w:style w:type="paragraph" w:styleId="para6">
    <w:name w:val="TOC Heading"/>
    <w:qFormat/>
    <w:basedOn w:val="para1"/>
    <w:next w:val="para0"/>
    <w:pPr>
      <w:ind w:firstLine="0"/>
      <w:spacing w:line="259" w:lineRule="auto"/>
      <w:jc w:val="left"/>
      <w:outlineLvl w:val="9"/>
    </w:pPr>
    <w:rPr>
      <w:lang w:eastAsia="pt-br"/>
    </w:rPr>
  </w:style>
  <w:style w:type="paragraph" w:styleId="para7">
    <w:name w:val="toc 1"/>
    <w:qFormat/>
    <w:basedOn w:val="para0"/>
    <w:next w:val="para0"/>
    <w:pPr>
      <w:ind w:firstLine="0"/>
      <w:spacing w:after="100"/>
      <w:tabs defTabSz="708">
        <w:tab w:val="right" w:pos="8494" w:leader="dot"/>
      </w:tabs>
    </w:pPr>
  </w:style>
  <w:style w:type="paragraph" w:styleId="para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9" w:customStyle="1">
    <w:name w:val="annotation subject"/>
    <w:qFormat/>
    <w:basedOn w:val="para8"/>
    <w:next w:val="para8"/>
    <w:rPr>
      <w:b/>
      <w:bCs/>
    </w:rPr>
  </w:style>
  <w:style w:type="paragraph" w:styleId="para10">
    <w:name w:val="Balloon Text"/>
    <w:qFormat/>
    <w:basedOn w:val="para0"/>
    <w:pPr>
      <w:spacing w:before="0" w:after="0" w:line="240" w:lineRule="auto"/>
    </w:pPr>
    <w:rPr>
      <w:sz w:val="18"/>
      <w:szCs w:val="18"/>
    </w:rPr>
  </w:style>
  <w:style w:type="paragraph" w:styleId="para11">
    <w:name w:val="List Paragraph"/>
    <w:qFormat/>
    <w:basedOn w:val="para0"/>
    <w:pPr>
      <w:ind w:left="720"/>
      <w:contextualSpacing/>
    </w:pPr>
  </w:style>
  <w:style w:type="paragraph" w:styleId="para12">
    <w:name w:val="toc 2"/>
    <w:qFormat/>
    <w:basedOn w:val="para0"/>
    <w:next w:val="para0"/>
    <w:pPr>
      <w:ind w:left="220"/>
      <w:spacing w:after="100"/>
    </w:pPr>
  </w:style>
  <w:style w:type="paragraph" w:styleId="para13">
    <w:name w:val="toc 3"/>
    <w:qFormat/>
    <w:basedOn w:val="para0"/>
    <w:next w:val="para0"/>
    <w:pPr>
      <w:ind w:left="440"/>
      <w:spacing w:after="100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 w:customStyle="1">
    <w:name w:val="Cabeçalho Char"/>
    <w:basedOn w:val="char0"/>
  </w:style>
  <w:style w:type="character" w:styleId="char4" w:customStyle="1">
    <w:name w:val="Rodapé Char"/>
    <w:basedOn w:val="char0"/>
  </w:style>
  <w:style w:type="character" w:styleId="char5" w:customStyle="1">
    <w:name w:val="Título 1 Char"/>
    <w:basedOn w:val="char0"/>
    <w:rPr>
      <w:rFonts w:ascii="Arial" w:hAnsi="Arial" w:eastAsia="Arial" w:cs="Arial"/>
      <w:color w:val="2f5496"/>
      <w:sz w:val="32"/>
      <w:szCs w:val="32"/>
    </w:rPr>
  </w:style>
  <w:style w:type="character" w:styleId="char6" w:customStyle="1">
    <w:name w:val="annotation reference"/>
    <w:basedOn w:val="char0"/>
    <w:rPr>
      <w:sz w:val="16"/>
      <w:szCs w:val="16"/>
    </w:rPr>
  </w:style>
  <w:style w:type="character" w:styleId="char7" w:customStyle="1">
    <w:name w:val="Texto de comentário Char"/>
    <w:basedOn w:val="char0"/>
    <w:rPr>
      <w:sz w:val="20"/>
      <w:szCs w:val="20"/>
    </w:rPr>
  </w:style>
  <w:style w:type="character" w:styleId="char8" w:customStyle="1">
    <w:name w:val="Assunto do comentário Char"/>
    <w:basedOn w:val="char7"/>
    <w:rPr>
      <w:b/>
      <w:bCs/>
      <w:sz w:val="20"/>
      <w:szCs w:val="20"/>
    </w:rPr>
  </w:style>
  <w:style w:type="character" w:styleId="char9" w:customStyle="1">
    <w:name w:val="Texto de balão Char"/>
    <w:basedOn w:val="char0"/>
    <w:rPr>
      <w:rFonts w:ascii="Arial" w:hAnsi="Arial" w:eastAsia="Arial" w:cs="Arial"/>
      <w:sz w:val="18"/>
      <w:szCs w:val="18"/>
    </w:rPr>
  </w:style>
  <w:style w:type="character" w:styleId="char10" w:customStyle="1">
    <w:name w:val="Título 2 Char"/>
    <w:basedOn w:val="char0"/>
    <w:rPr>
      <w:rFonts w:ascii="Arial" w:hAnsi="Arial" w:eastAsia="Arial" w:cs="Arial"/>
      <w:color w:val="2f5496"/>
      <w:sz w:val="26"/>
      <w:szCs w:val="26"/>
    </w:rPr>
  </w:style>
  <w:style w:type="character" w:styleId="char11" w:customStyle="1">
    <w:name w:val="Título 3 Char"/>
    <w:basedOn w:val="char0"/>
    <w:rPr>
      <w:rFonts w:ascii="Arial" w:hAnsi="Arial" w:eastAsia="Arial" w:cs="Arial"/>
      <w:color w:val="1f3763"/>
      <w:sz w:val="24"/>
      <w:szCs w:val="2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before="0"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f301bibli - Fatec de Votorantim</dc:creator>
  <cp:keywords/>
  <dc:description/>
  <cp:lastModifiedBy/>
  <cp:revision>4</cp:revision>
  <dcterms:created xsi:type="dcterms:W3CDTF">2026-10-03T13:38:00Z</dcterms:created>
  <dcterms:modified xsi:type="dcterms:W3CDTF">2026-10-05T01:21:50Z</dcterms:modified>
</cp:coreProperties>
</file>