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Data Preparation — Limitations &amp; Decisions</w:t>
      </w:r>
    </w:p>
    <w:p>
      <w:pPr>
        <w:spacing w:after="80" w:before="0"/>
        <w:jc w:val="center"/>
      </w:pPr>
      <w:r>
        <w:rPr>
          <w:rFonts w:ascii="Arial" w:cs="Arial" w:eastAsia="Arial" w:hAnsi="Arial"/>
          <w:i/>
          <w:iCs/>
          <w:color w:val="6B6B65"/>
          <w:sz w:val="22"/>
          <w:szCs w:val="22"/>
        </w:rPr>
        <w:t xml:space="preserve">Major Project · IMF WEO Panel Dataset · 197 Countries</w:t>
      </w:r>
    </w:p>
    <w:p>
      <w:pPr>
        <w:spacing w:after="320" w:before="0"/>
        <w:jc w:val="center"/>
      </w:pPr>
      <w:r>
        <w:rPr>
          <w:rFonts w:ascii="Arial" w:cs="Arial" w:eastAsia="Arial" w:hAnsi="Arial"/>
          <w:i/>
          <w:iCs/>
          <w:color w:val="6B6B65"/>
          <w:sz w:val="22"/>
          <w:szCs w:val="22"/>
        </w:rPr>
        <w:t xml:space="preserve">Submitted for Mentor Inspection</w:t>
      </w:r>
    </w:p>
    <w:p>
      <w:pPr>
        <w:pStyle w:val="Heading1"/>
        <w:spacing w:after="160" w:before="320"/>
      </w:pPr>
      <w:r>
        <w:rPr>
          <w:rFonts w:ascii="Arial" w:cs="Arial" w:eastAsia="Arial" w:hAnsi="Arial"/>
          <w:b/>
          <w:bCs/>
          <w:color w:val="1F3864"/>
          <w:sz w:val="28"/>
          <w:szCs w:val="28"/>
        </w:rPr>
        <w:t xml:space="preserve">1. Dataset &amp; Scope Limitations</w:t>
      </w:r>
    </w:p>
    <w:p>
      <w:pPr>
        <w:pStyle w:val="Heading2"/>
        <w:spacing w:after="120" w:before="240"/>
      </w:pPr>
      <w:r>
        <w:rPr>
          <w:rFonts w:ascii="Arial" w:cs="Arial" w:eastAsia="Arial" w:hAnsi="Arial"/>
          <w:b/>
          <w:bCs/>
          <w:color w:val="2E5090"/>
          <w:sz w:val="24"/>
          <w:szCs w:val="24"/>
        </w:rPr>
        <w:t xml:space="preserve">1.1 Source Dependency</w:t>
      </w:r>
    </w:p>
    <w:p>
      <w:pPr>
        <w:pStyle w:val="ListParagraph"/>
        <w:numPr>
          <w:ilvl w:val="0"/>
          <w:numId w:val="2"/>
        </w:numPr>
        <w:spacing w:after="60" w:before="60"/>
      </w:pPr>
      <w:r>
        <w:rPr>
          <w:rFonts w:ascii="Arial" w:cs="Arial" w:eastAsia="Arial" w:hAnsi="Arial"/>
          <w:color w:val="2C2C2A"/>
          <w:sz w:val="22"/>
          <w:szCs w:val="22"/>
        </w:rPr>
        <w:t xml:space="preserve">The entire analysis relies exclusively on IMF World Economic Outlook (WEO) data. Any systemic reporting biases, estimation errors, or revisions in IMF figures propagate directly into all models and outputs.</w:t>
      </w:r>
    </w:p>
    <w:p>
      <w:pPr>
        <w:pStyle w:val="ListParagraph"/>
        <w:numPr>
          <w:ilvl w:val="0"/>
          <w:numId w:val="2"/>
        </w:numPr>
        <w:spacing w:after="60" w:before="60"/>
      </w:pPr>
      <w:r>
        <w:rPr>
          <w:rFonts w:ascii="Arial" w:cs="Arial" w:eastAsia="Arial" w:hAnsi="Arial"/>
          <w:color w:val="2C2C2A"/>
          <w:sz w:val="22"/>
          <w:szCs w:val="22"/>
        </w:rPr>
        <w:t xml:space="preserve">IMF WEO figures for developing economies are often IMF staff estimates rather than actual reported values, particularly for Debt, Savings, and Investment series.</w:t>
      </w:r>
    </w:p>
    <w:p>
      <w:pPr>
        <w:spacing w:after="120" w:before="120"/>
      </w:pPr>
      <w:r>
        <w:t xml:space="preserve"/>
      </w:r>
    </w:p>
    <w:p>
      <w:pPr>
        <w:pStyle w:val="Heading2"/>
        <w:spacing w:after="120" w:before="240"/>
      </w:pPr>
      <w:r>
        <w:rPr>
          <w:rFonts w:ascii="Arial" w:cs="Arial" w:eastAsia="Arial" w:hAnsi="Arial"/>
          <w:b/>
          <w:bCs/>
          <w:color w:val="2E5090"/>
          <w:sz w:val="24"/>
          <w:szCs w:val="24"/>
        </w:rPr>
        <w:t xml:space="preserve">1.2 Indicator Coverage</w:t>
      </w:r>
    </w:p>
    <w:p>
      <w:pPr>
        <w:pStyle w:val="ListParagraph"/>
        <w:numPr>
          <w:ilvl w:val="0"/>
          <w:numId w:val="2"/>
        </w:numPr>
        <w:spacing w:after="60" w:before="60"/>
      </w:pPr>
      <w:r>
        <w:rPr>
          <w:rFonts w:ascii="Arial" w:cs="Arial" w:eastAsia="Arial" w:hAnsi="Arial"/>
          <w:color w:val="2C2C2A"/>
          <w:sz w:val="22"/>
          <w:szCs w:val="22"/>
        </w:rPr>
        <w:t xml:space="preserve">Only 12 macroeconomic indicators are used. Important drivers of GDP growth such as institutional quality, political stability, FDI inflows, human capital indices, commodity price dependence, and exchange rate data are excluded — primarily due to availability constraints across 197 countries.</w:t>
      </w:r>
    </w:p>
    <w:p>
      <w:pPr>
        <w:pStyle w:val="ListParagraph"/>
        <w:numPr>
          <w:ilvl w:val="0"/>
          <w:numId w:val="2"/>
        </w:numPr>
        <w:spacing w:after="60" w:before="60"/>
      </w:pPr>
      <w:r>
        <w:rPr>
          <w:rFonts w:ascii="Arial" w:cs="Arial" w:eastAsia="Arial" w:hAnsi="Arial"/>
          <w:color w:val="2C2C2A"/>
          <w:sz w:val="22"/>
          <w:szCs w:val="22"/>
        </w:rPr>
        <w:t xml:space="preserve">All 12 indicators are at the national level, masking significant subnational and sectoral heterogeneity.</w:t>
      </w:r>
    </w:p>
    <w:p>
      <w:pPr>
        <w:spacing w:after="120" w:before="120"/>
      </w:pPr>
      <w:r>
        <w:t xml:space="preserve"/>
      </w:r>
    </w:p>
    <w:p>
      <w:pPr>
        <w:pStyle w:val="Heading2"/>
        <w:spacing w:after="120" w:before="240"/>
      </w:pPr>
      <w:r>
        <w:rPr>
          <w:rFonts w:ascii="Arial" w:cs="Arial" w:eastAsia="Arial" w:hAnsi="Arial"/>
          <w:b/>
          <w:bCs/>
          <w:color w:val="2E5090"/>
          <w:sz w:val="24"/>
          <w:szCs w:val="24"/>
        </w:rPr>
        <w:t xml:space="preserve">1.3 Time Period</w:t>
      </w:r>
    </w:p>
    <w:p>
      <w:pPr>
        <w:pStyle w:val="ListParagraph"/>
        <w:numPr>
          <w:ilvl w:val="0"/>
          <w:numId w:val="2"/>
        </w:numPr>
        <w:spacing w:after="60" w:before="60"/>
      </w:pPr>
      <w:r>
        <w:rPr>
          <w:rFonts w:ascii="Arial" w:cs="Arial" w:eastAsia="Arial" w:hAnsi="Arial"/>
          <w:color w:val="2C2C2A"/>
          <w:sz w:val="22"/>
          <w:szCs w:val="22"/>
        </w:rPr>
        <w:t xml:space="preserve">The dataset spans approximately 1995–2023 (~28 years). This covers only two to three full economic cycles, which may be insufficient for robust long-run structural analysis, particularly for the LSTM temporal model.</w:t>
      </w:r>
    </w:p>
    <w:p>
      <w:pPr>
        <w:spacing w:after="120" w:before="120"/>
      </w:pPr>
      <w:r>
        <w:t xml:space="preserve"/>
      </w:r>
    </w:p>
    <w:p>
      <w:pPr>
        <w:pStyle w:val="Heading1"/>
        <w:spacing w:after="160" w:before="320"/>
      </w:pPr>
      <w:r>
        <w:rPr>
          <w:rFonts w:ascii="Arial" w:cs="Arial" w:eastAsia="Arial" w:hAnsi="Arial"/>
          <w:b/>
          <w:bCs/>
          <w:color w:val="1F3864"/>
          <w:sz w:val="28"/>
          <w:szCs w:val="28"/>
        </w:rPr>
        <w:t xml:space="preserve">2. Missing Data Limitations</w:t>
      </w:r>
    </w:p>
    <w:p>
      <w:pPr>
        <w:pStyle w:val="Heading2"/>
        <w:spacing w:after="120" w:before="240"/>
      </w:pPr>
      <w:r>
        <w:rPr>
          <w:rFonts w:ascii="Arial" w:cs="Arial" w:eastAsia="Arial" w:hAnsi="Arial"/>
          <w:b/>
          <w:bCs/>
          <w:color w:val="2E5090"/>
          <w:sz w:val="24"/>
          <w:szCs w:val="24"/>
        </w:rPr>
        <w:t xml:space="preserve">2.1 Country Exclusion Threshold</w:t>
      </w:r>
    </w:p>
    <w:p>
      <w:pPr>
        <w:pStyle w:val="ListParagraph"/>
        <w:numPr>
          <w:ilvl w:val="0"/>
          <w:numId w:val="2"/>
        </w:numPr>
        <w:spacing w:after="60" w:before="60"/>
      </w:pPr>
      <w:r>
        <w:rPr>
          <w:rFonts w:ascii="Arial" w:cs="Arial" w:eastAsia="Arial" w:hAnsi="Arial"/>
          <w:b/>
          <w:bCs/>
          <w:color w:val="2C2C2A"/>
          <w:sz w:val="22"/>
          <w:szCs w:val="22"/>
        </w:rPr>
        <w:t xml:space="preserve">Decision: </w:t>
      </w:r>
      <w:r>
        <w:rPr>
          <w:rFonts w:ascii="Arial" w:cs="Arial" w:eastAsia="Arial" w:hAnsi="Arial"/>
          <w:color w:val="2C2C2A"/>
          <w:sz w:val="22"/>
          <w:szCs w:val="22"/>
        </w:rPr>
        <w:t xml:space="preserve">Countries with more than 30% missing values across key indicators were removed from the panel.</w:t>
      </w:r>
    </w:p>
    <w:p>
      <w:pPr>
        <w:pStyle w:val="ListParagraph"/>
        <w:numPr>
          <w:ilvl w:val="0"/>
          <w:numId w:val="2"/>
        </w:numPr>
        <w:spacing w:after="60" w:before="60"/>
      </w:pPr>
      <w:r>
        <w:rPr>
          <w:rFonts w:ascii="Arial" w:cs="Arial" w:eastAsia="Arial" w:hAnsi="Arial"/>
          <w:color w:val="2C2C2A"/>
          <w:sz w:val="22"/>
          <w:szCs w:val="22"/>
        </w:rPr>
        <w:t xml:space="preserve">27 countries were excluded on this basis, reducing the dataset from 197 to 170 countries. These excluded countries are disproportionately small island states, conflict-affected economies, and least-developed countries — introducing a survivorship bias toward data-rich, typically more stable economies.</w:t>
      </w:r>
    </w:p>
    <w:p>
      <w:pPr>
        <w:spacing w:after="120" w:before="120"/>
      </w:pPr>
      <w:r>
        <w:t xml:space="preserve"/>
      </w:r>
    </w:p>
    <w:p>
      <w:pPr>
        <w:pStyle w:val="Heading2"/>
        <w:spacing w:after="120" w:before="240"/>
      </w:pPr>
      <w:r>
        <w:rPr>
          <w:rFonts w:ascii="Arial" w:cs="Arial" w:eastAsia="Arial" w:hAnsi="Arial"/>
          <w:b/>
          <w:bCs/>
          <w:color w:val="2E5090"/>
          <w:sz w:val="24"/>
          <w:szCs w:val="24"/>
        </w:rPr>
        <w:t xml:space="preserve">2.2 Column-Level Missingness</w:t>
      </w:r>
    </w:p>
    <w:p>
      <w:pPr>
        <w:pStyle w:val="ListParagraph"/>
        <w:numPr>
          <w:ilvl w:val="0"/>
          <w:numId w:val="2"/>
        </w:numPr>
        <w:spacing w:after="60" w:before="60"/>
      </w:pPr>
      <w:r>
        <w:rPr>
          <w:rFonts w:ascii="Arial" w:cs="Arial" w:eastAsia="Arial" w:hAnsi="Arial"/>
          <w:color w:val="2C2C2A"/>
          <w:sz w:val="22"/>
          <w:szCs w:val="22"/>
        </w:rPr>
        <w:t xml:space="preserve">The missing data assessment and interpolation was applied only to a subset of columns: Savings, Investment, Imports, Exports, and Debt. Other indicators (Inflation, Unemployment, Fiscal Balance, Current Account, Revenue, Expenditure) were not subjected to the same explicit imputation pipeline in the current notebook version.</w:t>
      </w:r>
    </w:p>
    <w:p>
      <w:pPr>
        <w:pStyle w:val="ListParagraph"/>
        <w:numPr>
          <w:ilvl w:val="0"/>
          <w:numId w:val="2"/>
        </w:numPr>
        <w:spacing w:after="60" w:before="60"/>
      </w:pPr>
      <w:r>
        <w:rPr>
          <w:rFonts w:ascii="Arial" w:cs="Arial" w:eastAsia="Arial" w:hAnsi="Arial"/>
          <w:color w:val="2C2C2A"/>
          <w:sz w:val="22"/>
          <w:szCs w:val="22"/>
        </w:rPr>
        <w:t xml:space="preserve">Residual missingness of 2–3% remained after linear interpolation and forward/backward fill. This was handled via year-wise cross-sectional median imputation.</w:t>
      </w:r>
    </w:p>
    <w:p>
      <w:pPr>
        <w:spacing w:after="120" w:before="120"/>
      </w:pPr>
      <w:r>
        <w:t xml:space="preserve"/>
      </w:r>
    </w:p>
    <w:p>
      <w:pPr>
        <w:pStyle w:val="Heading2"/>
        <w:spacing w:after="120" w:before="240"/>
      </w:pPr>
      <w:r>
        <w:rPr>
          <w:rFonts w:ascii="Arial" w:cs="Arial" w:eastAsia="Arial" w:hAnsi="Arial"/>
          <w:b/>
          <w:bCs/>
          <w:color w:val="2E5090"/>
          <w:sz w:val="24"/>
          <w:szCs w:val="24"/>
        </w:rPr>
        <w:t xml:space="preserve">2.3 Imputation Validity</w:t>
      </w:r>
    </w:p>
    <w:p>
      <w:pPr>
        <w:pStyle w:val="ListParagraph"/>
        <w:numPr>
          <w:ilvl w:val="0"/>
          <w:numId w:val="2"/>
        </w:numPr>
        <w:spacing w:after="60" w:before="60"/>
      </w:pPr>
      <w:r>
        <w:rPr>
          <w:rFonts w:ascii="Arial" w:cs="Arial" w:eastAsia="Arial" w:hAnsi="Arial"/>
          <w:color w:val="2C2C2A"/>
          <w:sz w:val="22"/>
          <w:szCs w:val="22"/>
        </w:rPr>
        <w:t xml:space="preserve">Linear interpolation assumes a smooth, linear trend between observed data points within a country's time series. This assumption may be violated during economic shocks, crises, or structural breaks — precisely the periods most relevant to this project.</w:t>
      </w:r>
    </w:p>
    <w:p>
      <w:pPr>
        <w:pStyle w:val="ListParagraph"/>
        <w:numPr>
          <w:ilvl w:val="0"/>
          <w:numId w:val="2"/>
        </w:numPr>
        <w:spacing w:after="60" w:before="60"/>
      </w:pPr>
      <w:r>
        <w:rPr>
          <w:rFonts w:ascii="Arial" w:cs="Arial" w:eastAsia="Arial" w:hAnsi="Arial"/>
          <w:color w:val="2C2C2A"/>
          <w:sz w:val="22"/>
          <w:szCs w:val="22"/>
        </w:rPr>
        <w:t xml:space="preserve">Cross-sectional median imputation (filling with the year-median across peer countries) assumes that missing country-year observations are similar to the global peer median for that year. This is a reasonable but strong assumption, particularly for structurally different economies.</w:t>
      </w:r>
    </w:p>
    <w:p>
      <w:pPr>
        <w:spacing w:after="120" w:before="120"/>
      </w:pPr>
      <w:r>
        <w:t xml:space="preserve"/>
      </w:r>
    </w:p>
    <w:p>
      <w:pPr>
        <w:pStyle w:val="Heading1"/>
        <w:spacing w:after="160" w:before="320"/>
      </w:pPr>
      <w:r>
        <w:rPr>
          <w:rFonts w:ascii="Arial" w:cs="Arial" w:eastAsia="Arial" w:hAnsi="Arial"/>
          <w:b/>
          <w:bCs/>
          <w:color w:val="1F3864"/>
          <w:sz w:val="28"/>
          <w:szCs w:val="28"/>
        </w:rPr>
        <w:t xml:space="preserve">3. Stationarity &amp; Transformation Limitations</w:t>
      </w:r>
    </w:p>
    <w:p>
      <w:pPr>
        <w:pStyle w:val="Heading2"/>
        <w:spacing w:after="120" w:before="240"/>
      </w:pPr>
      <w:r>
        <w:rPr>
          <w:rFonts w:ascii="Arial" w:cs="Arial" w:eastAsia="Arial" w:hAnsi="Arial"/>
          <w:b/>
          <w:bCs/>
          <w:color w:val="2E5090"/>
          <w:sz w:val="24"/>
          <w:szCs w:val="24"/>
        </w:rPr>
        <w:t xml:space="preserve">3.1 Non-Stationarity Findings</w:t>
      </w:r>
    </w:p>
    <w:p>
      <w:pPr>
        <w:spacing w:after="80" w:before="80"/>
      </w:pPr>
      <w:r>
        <w:rPr>
          <w:rFonts w:ascii="Arial" w:cs="Arial" w:eastAsia="Arial" w:hAnsi="Arial"/>
          <w:color w:val="2C2C2A"/>
          <w:sz w:val="22"/>
          <w:szCs w:val="22"/>
        </w:rPr>
        <w:t xml:space="preserve">ADF and KPSS panel unit root tests identified the following variables as non-stationary across a majority of countries: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ADF Reject %</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KPSS Reject %</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Debt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17.3%</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52.5%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First difference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Expenditure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First difference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Revenue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26.5%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49.4%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First difference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Unemployment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40.8%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First difference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Savings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27.8%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38.9%</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First difference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Investment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First difference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Fiscal_Balance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39.5%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22.8%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Borderline — retained as-is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Current_Account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Borderline — retained as-is</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GDP_Growth</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77.8%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13.0%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Stationary — no transformation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Inflation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Stationary — no transformation</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Exports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82.1%</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11.7%</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Stationary — no transformation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Imports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Stationary — no transformation</w:t>
            </w:r>
          </w:p>
        </w:tc>
      </w:tr>
    </w:tbl>
    <w:p>
      <w:pPr>
        <w:spacing w:after="120" w:before="120"/>
      </w:pPr>
      <w:r>
        <w:t xml:space="preserve"/>
      </w:r>
    </w:p>
    <w:p>
      <w:pPr>
        <w:pStyle w:val="Heading2"/>
        <w:spacing w:after="120" w:before="240"/>
      </w:pPr>
      <w:r>
        <w:rPr>
          <w:rFonts w:ascii="Arial" w:cs="Arial" w:eastAsia="Arial" w:hAnsi="Arial"/>
          <w:b/>
          <w:bCs/>
          <w:color w:val="2E5090"/>
          <w:sz w:val="24"/>
          <w:szCs w:val="24"/>
        </w:rPr>
        <w:t xml:space="preserve">3.2 Interpretation Shift from Differencing</w:t>
      </w:r>
    </w:p>
    <w:p>
      <w:pPr>
        <w:pStyle w:val="ListParagraph"/>
        <w:numPr>
          <w:ilvl w:val="0"/>
          <w:numId w:val="2"/>
        </w:numPr>
        <w:spacing w:after="60" w:before="60"/>
      </w:pPr>
      <w:r>
        <w:rPr>
          <w:rFonts w:ascii="Arial" w:cs="Arial" w:eastAsia="Arial" w:hAnsi="Arial"/>
          <w:color w:val="2C2C2A"/>
          <w:sz w:val="22"/>
          <w:szCs w:val="22"/>
        </w:rPr>
        <w:t xml:space="preserve">First-differencing transforms level variables (e.g., Debt % of GDP) into change variables (e.g., year-on-year change in Debt % of GDP). This means model coefficients reflect the impact of changes in these indicators on GDP growth — not their absolute levels. While theoretically sound, this limits comparability with studies using level specifications.</w:t>
      </w:r>
    </w:p>
    <w:p>
      <w:pPr>
        <w:spacing w:after="120" w:before="120"/>
      </w:pPr>
      <w:r>
        <w:t xml:space="preserve"/>
      </w:r>
    </w:p>
    <w:p>
      <w:pPr>
        <w:pStyle w:val="Heading2"/>
        <w:spacing w:after="120" w:before="240"/>
      </w:pPr>
      <w:r>
        <w:rPr>
          <w:rFonts w:ascii="Arial" w:cs="Arial" w:eastAsia="Arial" w:hAnsi="Arial"/>
          <w:b/>
          <w:bCs/>
          <w:color w:val="2E5090"/>
          <w:sz w:val="24"/>
          <w:szCs w:val="24"/>
        </w:rPr>
        <w:t xml:space="preserve">3.3 NaN Cascade from Differencing</w:t>
      </w:r>
    </w:p>
    <w:p>
      <w:pPr>
        <w:pStyle w:val="ListParagraph"/>
        <w:numPr>
          <w:ilvl w:val="0"/>
          <w:numId w:val="2"/>
        </w:numPr>
        <w:spacing w:after="60" w:before="60"/>
      </w:pPr>
      <w:r>
        <w:rPr>
          <w:rFonts w:ascii="Arial" w:cs="Arial" w:eastAsia="Arial" w:hAnsi="Arial"/>
          <w:color w:val="2C2C2A"/>
          <w:sz w:val="22"/>
          <w:szCs w:val="22"/>
        </w:rPr>
        <w:t xml:space="preserve">Applying first differences on columns that contained interior missing values (even after imputation) caused a NaN cascade — a single mid-series gap produces multiple consecutive NaN values after differencing. This, combined with lagging, caused a significant reduction in panel observations.</w:t>
      </w:r>
    </w:p>
    <w:p>
      <w:pPr>
        <w:pStyle w:val="ListParagraph"/>
        <w:numPr>
          <w:ilvl w:val="0"/>
          <w:numId w:val="2"/>
        </w:numPr>
        <w:spacing w:after="60" w:before="60"/>
      </w:pPr>
      <w:r>
        <w:rPr>
          <w:rFonts w:ascii="Arial" w:cs="Arial" w:eastAsia="Arial" w:hAnsi="Arial"/>
          <w:color w:val="2C2C2A"/>
          <w:sz w:val="22"/>
          <w:szCs w:val="22"/>
        </w:rPr>
        <w:t xml:space="preserve">This cascade was identified as the primary cause of country dropout beyond the intended 30% threshold exclusions. The corrective measure — imputing all interior gaps before differencing — was subsequently applied.</w:t>
      </w:r>
    </w:p>
    <w:p>
      <w:pPr>
        <w:spacing w:after="120" w:before="120"/>
      </w:pPr>
      <w:r>
        <w:t xml:space="preserve"/>
      </w:r>
    </w:p>
    <w:p>
      <w:pPr>
        <w:pStyle w:val="Heading1"/>
        <w:spacing w:after="160" w:before="320"/>
      </w:pPr>
      <w:r>
        <w:rPr>
          <w:rFonts w:ascii="Arial" w:cs="Arial" w:eastAsia="Arial" w:hAnsi="Arial"/>
          <w:b/>
          <w:bCs/>
          <w:color w:val="1F3864"/>
          <w:sz w:val="28"/>
          <w:szCs w:val="28"/>
        </w:rPr>
        <w:t xml:space="preserve">4. Country Coverage Limitations</w:t>
      </w:r>
    </w:p>
    <w:p>
      <w:pPr>
        <w:pStyle w:val="Heading2"/>
        <w:spacing w:after="120" w:before="240"/>
      </w:pPr>
      <w:r>
        <w:rPr>
          <w:rFonts w:ascii="Arial" w:cs="Arial" w:eastAsia="Arial" w:hAnsi="Arial"/>
          <w:b/>
          <w:bCs/>
          <w:color w:val="2E5090"/>
          <w:sz w:val="24"/>
          <w:szCs w:val="24"/>
        </w:rPr>
        <w:t xml:space="preserve">4.1 Cumulative Country Loss</w:t>
      </w:r>
    </w:p>
    <w:p>
      <w:pPr>
        <w:spacing w:after="80" w:before="80"/>
      </w:pPr>
      <w:r>
        <w:rPr>
          <w:rFonts w:ascii="Arial" w:cs="Arial" w:eastAsia="Arial" w:hAnsi="Arial"/>
          <w:color w:val="2C2C2A"/>
          <w:sz w:val="22"/>
          <w:szCs w:val="22"/>
        </w:rPr>
        <w:t xml:space="preserve">The sequential data cleaning pipeline caused the following cumulative reduction in country coverage: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Countries Remaining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 for Loss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Original dataset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197</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&gt;30% missing — excluded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170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Deliberate threshold exclusion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GDP_Growth target NaN dropped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~162</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Target variable rows removed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Diff + lag + incorrect dropna on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Pipeline error — NaN cascade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After pipeline correction (target)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~162–165</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Correct imputation applied</w:t>
            </w:r>
          </w:p>
        </w:tc>
      </w:tr>
    </w:tbl>
    <w:p>
      <w:pPr>
        <w:spacing w:after="120" w:before="120"/>
      </w:pPr>
      <w:r>
        <w:t xml:space="preserve"/>
      </w:r>
    </w:p>
    <w:p>
      <w:pPr>
        <w:pStyle w:val="Heading2"/>
        <w:spacing w:after="120" w:before="240"/>
      </w:pPr>
      <w:r>
        <w:rPr>
          <w:rFonts w:ascii="Arial" w:cs="Arial" w:eastAsia="Arial" w:hAnsi="Arial"/>
          <w:b/>
          <w:bCs/>
          <w:color w:val="2E5090"/>
          <w:sz w:val="24"/>
          <w:szCs w:val="24"/>
        </w:rPr>
        <w:t xml:space="preserve">4.2 Major Economies Affected</w:t>
      </w:r>
    </w:p>
    <w:p>
      <w:pPr>
        <w:pStyle w:val="ListParagraph"/>
        <w:numPr>
          <w:ilvl w:val="0"/>
          <w:numId w:val="2"/>
        </w:numPr>
        <w:spacing w:after="60" w:before="60"/>
      </w:pPr>
      <w:r>
        <w:rPr>
          <w:rFonts w:ascii="Arial" w:cs="Arial" w:eastAsia="Arial" w:hAnsi="Arial"/>
          <w:color w:val="2C2C2A"/>
          <w:sz w:val="22"/>
          <w:szCs w:val="22"/>
        </w:rPr>
        <w:t xml:space="preserve">China, Russia, and South Korea were among the countries dropped due to the NaN cascade from differencing — despite being G20 economies central to global macroeconomic analysis.</w:t>
      </w:r>
    </w:p>
    <w:p>
      <w:pPr>
        <w:pStyle w:val="ListParagraph"/>
        <w:numPr>
          <w:ilvl w:val="0"/>
          <w:numId w:val="2"/>
        </w:numPr>
        <w:spacing w:after="60" w:before="60"/>
      </w:pPr>
      <w:r>
        <w:rPr>
          <w:rFonts w:ascii="Arial" w:cs="Arial" w:eastAsia="Arial" w:hAnsi="Arial"/>
          <w:color w:val="2C2C2A"/>
          <w:sz w:val="22"/>
          <w:szCs w:val="22"/>
        </w:rPr>
        <w:t xml:space="preserve">Their absence from the 105-country intermediate dataset rendered the panel non-representative of global GDP. This was identified as a critical issue requiring pipeline correction before modelling.</w:t>
      </w:r>
    </w:p>
    <w:p>
      <w:pPr>
        <w:spacing w:after="120" w:before="120"/>
      </w:pPr>
      <w:r>
        <w:t xml:space="preserve"/>
      </w:r>
    </w:p>
    <w:p>
      <w:pPr>
        <w:pStyle w:val="Heading2"/>
        <w:spacing w:after="120" w:before="240"/>
      </w:pPr>
      <w:r>
        <w:rPr>
          <w:rFonts w:ascii="Arial" w:cs="Arial" w:eastAsia="Arial" w:hAnsi="Arial"/>
          <w:b/>
          <w:bCs/>
          <w:color w:val="2E5090"/>
          <w:sz w:val="24"/>
          <w:szCs w:val="24"/>
        </w:rPr>
        <w:t xml:space="preserve">4.3 Representativeness Concern</w:t>
      </w:r>
    </w:p>
    <w:p>
      <w:pPr>
        <w:pStyle w:val="ListParagraph"/>
        <w:numPr>
          <w:ilvl w:val="0"/>
          <w:numId w:val="2"/>
        </w:numPr>
        <w:spacing w:after="60" w:before="60"/>
      </w:pPr>
      <w:r>
        <w:rPr>
          <w:rFonts w:ascii="Arial" w:cs="Arial" w:eastAsia="Arial" w:hAnsi="Arial"/>
          <w:color w:val="2C2C2A"/>
          <w:sz w:val="22"/>
          <w:szCs w:val="22"/>
        </w:rPr>
        <w:t xml:space="preserve">Even at ~162 countries after correction, the excluded 35 countries are disproportionately data-poor, conflict-affected, or structurally unique economies (e.g., small island states, post-conflict nations). The final panel is therefore biased toward countries with stable, consistent IMF reporting histories.</w:t>
      </w:r>
    </w:p>
    <w:p>
      <w:pPr>
        <w:spacing w:after="120" w:before="120"/>
      </w:pPr>
      <w:r>
        <w:t xml:space="preserve"/>
      </w:r>
    </w:p>
    <w:p>
      <w:pPr>
        <w:pStyle w:val="Heading1"/>
        <w:spacing w:after="160" w:before="320"/>
      </w:pPr>
      <w:r>
        <w:rPr>
          <w:rFonts w:ascii="Arial" w:cs="Arial" w:eastAsia="Arial" w:hAnsi="Arial"/>
          <w:b/>
          <w:bCs/>
          <w:color w:val="1F3864"/>
          <w:sz w:val="28"/>
          <w:szCs w:val="28"/>
        </w:rPr>
        <w:t xml:space="preserve">5. Feature Engineering Limitations</w:t>
      </w:r>
    </w:p>
    <w:p>
      <w:pPr>
        <w:pStyle w:val="Heading2"/>
        <w:spacing w:after="120" w:before="240"/>
      </w:pPr>
      <w:r>
        <w:rPr>
          <w:rFonts w:ascii="Arial" w:cs="Arial" w:eastAsia="Arial" w:hAnsi="Arial"/>
          <w:b/>
          <w:bCs/>
          <w:color w:val="2E5090"/>
          <w:sz w:val="24"/>
          <w:szCs w:val="24"/>
        </w:rPr>
        <w:t xml:space="preserve">5.1 Lag Structure</w:t>
      </w:r>
    </w:p>
    <w:p>
      <w:pPr>
        <w:pStyle w:val="ListParagraph"/>
        <w:numPr>
          <w:ilvl w:val="0"/>
          <w:numId w:val="2"/>
        </w:numPr>
        <w:spacing w:after="60" w:before="60"/>
      </w:pPr>
      <w:r>
        <w:rPr>
          <w:rFonts w:ascii="Arial" w:cs="Arial" w:eastAsia="Arial" w:hAnsi="Arial"/>
          <w:color w:val="2C2C2A"/>
          <w:sz w:val="22"/>
          <w:szCs w:val="22"/>
        </w:rPr>
        <w:t xml:space="preserve">Only a single lag (t-1) is used for all features. This assumes that the most recent prior year is the dominant predictor of current GDP growth. In practice, macro transmission mechanisms often operate over 2–3 year horizons (e.g., fiscal multipliers, debt overhang effects).</w:t>
      </w:r>
    </w:p>
    <w:p>
      <w:pPr>
        <w:pStyle w:val="ListParagraph"/>
        <w:numPr>
          <w:ilvl w:val="0"/>
          <w:numId w:val="2"/>
        </w:numPr>
        <w:spacing w:after="60" w:before="60"/>
      </w:pPr>
      <w:r>
        <w:rPr>
          <w:rFonts w:ascii="Arial" w:cs="Arial" w:eastAsia="Arial" w:hAnsi="Arial"/>
          <w:color w:val="2C2C2A"/>
          <w:sz w:val="22"/>
          <w:szCs w:val="22"/>
        </w:rPr>
        <w:t xml:space="preserve">The LSTM layer partially compensates for this by using sequences of t-3, t-2, t-1 — but the ML models (Random Forest, XGBoost, etc.) rely solely on t-1 lags.</w:t>
      </w:r>
    </w:p>
    <w:p>
      <w:pPr>
        <w:spacing w:after="120" w:before="120"/>
      </w:pPr>
      <w:r>
        <w:t xml:space="preserve"/>
      </w:r>
    </w:p>
    <w:p>
      <w:pPr>
        <w:pStyle w:val="Heading2"/>
        <w:spacing w:after="120" w:before="240"/>
      </w:pPr>
      <w:r>
        <w:rPr>
          <w:rFonts w:ascii="Arial" w:cs="Arial" w:eastAsia="Arial" w:hAnsi="Arial"/>
          <w:b/>
          <w:bCs/>
          <w:color w:val="2E5090"/>
          <w:sz w:val="24"/>
          <w:szCs w:val="24"/>
        </w:rPr>
        <w:t xml:space="preserve">5.2 Loss of Observations from Lagging</w:t>
      </w:r>
    </w:p>
    <w:p>
      <w:pPr>
        <w:pStyle w:val="ListParagraph"/>
        <w:numPr>
          <w:ilvl w:val="0"/>
          <w:numId w:val="2"/>
        </w:numPr>
        <w:spacing w:after="60" w:before="60"/>
      </w:pPr>
      <w:r>
        <w:rPr>
          <w:rFonts w:ascii="Arial" w:cs="Arial" w:eastAsia="Arial" w:hAnsi="Arial"/>
          <w:color w:val="2C2C2A"/>
          <w:sz w:val="22"/>
          <w:szCs w:val="22"/>
        </w:rPr>
        <w:t xml:space="preserve">Each country loses at least one observation year due to differencing (loss of first year) and one additional year due to lagging — totalling a minimum of 2 years lost per country. For countries with already-short series (e.g., post-Soviet states with data from ~1993), this is a meaningful loss of usable observations.</w:t>
      </w:r>
    </w:p>
    <w:p>
      <w:pPr>
        <w:spacing w:after="120" w:before="120"/>
      </w:pPr>
      <w:r>
        <w:t xml:space="preserve"/>
      </w:r>
    </w:p>
    <w:p>
      <w:pPr>
        <w:pStyle w:val="Heading1"/>
        <w:spacing w:after="160" w:before="320"/>
      </w:pPr>
      <w:r>
        <w:rPr>
          <w:rFonts w:ascii="Arial" w:cs="Arial" w:eastAsia="Arial" w:hAnsi="Arial"/>
          <w:b/>
          <w:bCs/>
          <w:color w:val="1F3864"/>
          <w:sz w:val="28"/>
          <w:szCs w:val="28"/>
        </w:rPr>
        <w:t xml:space="preserve">6. Summary of Key Decisions &amp; Justifications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 Introduced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Exclude countries with &gt;30% missing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Avoid noise from heavy imputation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Survivorship bias toward data-rich economies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Linear interpolation for interior gaps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Preserves temporal trend within country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Assumes smooth transition — violated during shocks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Year-wise median for residual NaNs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Standard IMF panel practice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Assumes structural similarity to peer-year median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First-difference non-stationary columns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Prevents spurious regression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Shifts interpretation to changes, not levels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Dropna only on target (GDP_Growth)</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Prevents excessive country loss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Residual feature NaNs require imputation assumption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Time-based train/test split at 2019/2020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Prevents data leakage across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Small post-2020 test set; COVID years are outliers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Single lag (t-1) for ML models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Standard forecasting convention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2C2C2A"/>
                <w:sz w:val="20"/>
                <w:szCs w:val="20"/>
              </w:rPr>
              <w:t xml:space="preserve">May miss multi-year transmission effects</w:t>
            </w:r>
          </w:p>
        </w:tc>
      </w:tr>
    </w:tbl>
    <w:p>
      <w:pPr>
        <w:spacing w:after="120" w:before="120"/>
      </w:pPr>
      <w:r>
        <w:t xml:space="preserve"/>
      </w:r>
    </w:p>
    <w:p>
      <w:pPr>
        <w:pBdr>
          <w:top w:val="single" w:color="CCCCCC" w:sz="6" w:space="1"/>
        </w:pBdr>
        <w:spacing w:after="80" w:before="320"/>
      </w:pPr>
      <w:r>
        <w:rPr>
          <w:rFonts w:ascii="Arial" w:cs="Arial" w:eastAsia="Arial" w:hAnsi="Arial"/>
          <w:i/>
          <w:iCs/>
          <w:color w:val="6B6B65"/>
          <w:sz w:val="18"/>
          <w:szCs w:val="18"/>
        </w:rPr>
        <w:t xml:space="preserve">Note: This document covers limitations identified during the data preparation phase only. Additional modelling limitations (e.g., model assumptions, out-of-sample validity, LSTM architecture choices) will be documented separately upon completion of the modelling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2026-04-25T09:38:35.868Z</dcterms:created>
  <dcterms:modified xsi:type="dcterms:W3CDTF">2026-04-25T09:38:35.869Z</dcterms:modified>
</cp:coreProperties>
</file>

<file path=docProps/custom.xml><?xml version="1.0" encoding="utf-8"?>
<Properties xmlns="http://schemas.openxmlformats.org/officeDocument/2006/custom-properties" xmlns:vt="http://schemas.openxmlformats.org/officeDocument/2006/docPropsVTypes"/>
</file>