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    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D6505" w:rsidRDefault="00FD6505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D2E" w:rsidRDefault="00620D2E" w:rsidP="00100F2E">
      <w:pPr>
        <w:spacing w:after="0" w:line="240" w:lineRule="auto"/>
      </w:pPr>
      <w:r>
        <w:separator/>
      </w:r>
    </w:p>
  </w:endnote>
  <w:endnote w:type="continuationSeparator" w:id="0">
    <w:p w:rsidR="00620D2E" w:rsidRDefault="00620D2E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D2E" w:rsidRDefault="00620D2E" w:rsidP="00100F2E">
      <w:pPr>
        <w:spacing w:after="0" w:line="240" w:lineRule="auto"/>
      </w:pPr>
      <w:r>
        <w:separator/>
      </w:r>
    </w:p>
  </w:footnote>
  <w:footnote w:type="continuationSeparator" w:id="0">
    <w:p w:rsidR="00620D2E" w:rsidRDefault="00620D2E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11A8B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00C1"/>
    <w:rsid w:val="00571846"/>
    <w:rsid w:val="0061165E"/>
    <w:rsid w:val="0061553C"/>
    <w:rsid w:val="00620D2E"/>
    <w:rsid w:val="0062372E"/>
    <w:rsid w:val="006473EC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6505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9E3E016-E668-42BA-8EBD-72785ABA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2024-03-22T09:50:00Z</dcterms:modified>
</cp:coreProperties>
</file>