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>Łaziska Górne {{</w:t>
            </w:r>
            <w:proofErr w:type="spellStart"/>
            <w:r w:rsidRPr="00C04525">
              <w:rPr>
                <w:rFonts w:cstheme="minorHAnsi"/>
                <w:sz w:val="24"/>
                <w:szCs w:val="24"/>
                <w:u w:val="single"/>
              </w:rPr>
              <w:t>dataWyst</w:t>
            </w:r>
            <w:proofErr w:type="spellEnd"/>
            <w:r w:rsidRPr="00C04525">
              <w:rPr>
                <w:rFonts w:cstheme="minorHAnsi"/>
                <w:sz w:val="24"/>
                <w:szCs w:val="24"/>
                <w:u w:val="single"/>
              </w:rPr>
              <w:t>}}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>{{tabela}}</w:t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</cp:coreProperties>
</file>