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Anna </w:t>
      </w:r>
      <w:r w:rsidR="00C0478E" w:rsidRPr="000B1938">
        <w:rPr>
          <w:b/>
          <w:sz w:val="28"/>
          <w:szCs w:val="28"/>
        </w:rPr>
        <w:t xml:space="preserve">Anna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Chmielewska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42081518871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