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Arial" w:cs="Arial" w:eastAsia="Arial" w:hAnsi="Arial"/>
          <w:b/>
          <w:bCs/>
          <w:color w:val="1B3A6B"/>
          <w:sz w:val="34"/>
          <w:szCs w:val="34"/>
        </w:rPr>
        <w:t xml:space="preserve">AuctionSense: An Agentic AI Framework for Seller-Side Pre-Auction Intelligence in B2B Physical Industrial Commodity Auctions</w:t>
      </w:r>
    </w:p>
    <w:p>
      <w:pPr>
        <w:pBdr>
          <w:bottom w:val="single" w:color="1B3A6B" w:sz="8" w:space="1"/>
        </w:pBdr>
        <w:spacing w:after="200" w:before="0"/>
      </w:pPr>
      <w:r>
        <w:t xml:space="preserve"/>
      </w:r>
    </w:p>
    <w:p>
      <w:pPr>
        <w:spacing w:after="40" w:before="80"/>
        <w:jc w:val="center"/>
      </w:pPr>
      <w:r>
        <w:rPr>
          <w:rFonts w:ascii="Arial" w:cs="Arial" w:eastAsia="Arial" w:hAnsi="Arial"/>
          <w:b/>
          <w:bCs/>
          <w:color w:val="0F6E56"/>
          <w:sz w:val="24"/>
          <w:szCs w:val="24"/>
        </w:rPr>
        <w:t xml:space="preserve">Dr. Debendra Ray, DBA</w:t>
      </w:r>
    </w:p>
    <w:p>
      <w:pPr>
        <w:spacing w:after="40" w:before="0"/>
        <w:jc w:val="center"/>
      </w:pPr>
      <w:r>
        <w:rPr>
          <w:rFonts w:ascii="Arial" w:cs="Arial" w:eastAsia="Arial" w:hAnsi="Arial"/>
          <w:color w:val="374151"/>
          <w:sz w:val="20"/>
          <w:szCs w:val="20"/>
        </w:rPr>
        <w:t xml:space="preserve">Platform Services &amp; Digital Transformation | Enterprise AI Research</w:t>
      </w:r>
    </w:p>
    <w:p>
      <w:pPr>
        <w:spacing w:after="200" w:before="0"/>
        <w:jc w:val="center"/>
      </w:pPr>
      <w:r>
        <w:rPr>
          <w:rFonts w:ascii="Arial" w:cs="Arial" w:eastAsia="Arial" w:hAnsi="Arial"/>
          <w:color w:val="6B7280"/>
          <w:sz w:val="19"/>
          <w:szCs w:val="19"/>
        </w:rPr>
        <w:t xml:space="preserve">ORCID: 0009-0002-5784-4442</w:t>
      </w:r>
    </w:p>
    <w:p>
      <w:pPr>
        <w:pBdr>
          <w:bottom w:val="single" w:color="D1D5DB" w:sz="2" w:space="1"/>
        </w:pBdr>
        <w:spacing w:after="200" w:before="0"/>
      </w:pPr>
      <w:r>
        <w:t xml:space="preserve"/>
      </w:r>
    </w:p>
    <w:p>
      <w:pPr>
        <w:spacing w:after="60" w:before="60"/>
      </w:pPr>
      <w:r>
        <w:t xml:space="preserve"/>
      </w:r>
    </w:p>
    <w:tbl>
      <w:tblPr>
        <w:tblW w:type="dxa" w:w="9026"/>
        <w:tblBorders>
          <w:top w:val="single" w:color="1B3A6B" w:sz="6"/>
          <w:left w:val="single" w:color="1B3A6B" w:sz="6"/>
          <w:bottom w:val="single" w:color="1B3A6B" w:sz="6"/>
          <w:right w:val="single" w:color="1B3A6B" w:sz="6"/>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4FF" w:val="clear"/>
            <w:tcMar>
              <w:top w:type="dxa" w:w="160"/>
              <w:left w:type="dxa" w:w="240"/>
              <w:bottom w:type="dxa" w:w="160"/>
              <w:right w:type="dxa" w:w="240"/>
            </w:tcMar>
          </w:tcPr>
          <w:p>
            <w:pPr>
              <w:spacing w:after="100" w:before="0"/>
            </w:pPr>
            <w:r>
              <w:rPr>
                <w:rFonts w:ascii="Arial" w:cs="Arial" w:eastAsia="Arial" w:hAnsi="Arial"/>
                <w:b/>
                <w:bCs/>
                <w:caps/>
                <w:color w:val="1B3A6B"/>
                <w:sz w:val="22"/>
                <w:szCs w:val="22"/>
              </w:rPr>
              <w:t xml:space="preserve">ABSTRACT</w:t>
            </w:r>
          </w:p>
          <w:p>
            <w:pPr>
              <w:spacing w:after="80" w:before="0"/>
              <w:jc w:val="both"/>
            </w:pPr>
            <w:r>
              <w:rPr>
                <w:rFonts w:ascii="Times New Roman" w:cs="Times New Roman" w:eastAsia="Times New Roman" w:hAnsi="Times New Roman"/>
                <w:b w:val="false"/>
                <w:bCs w:val="false"/>
                <w:color w:val="111111"/>
                <w:sz w:val="22"/>
                <w:szCs w:val="22"/>
              </w:rPr>
              <w:t xml:space="preserve">B2B industrial e-auction platforms globally facilitate the disposal of physical commodity lots — ferrous and non-ferrous scrap, idle industrial machinery, coal, agricultural produce, and government surplus — through competitive bidding. Despite transacting hundreds of billions of dollars in annual gross merchandise value, the three most consequential pre-auction decisions made by auction operators remain entirely manual and intuition-driven: setting the reserve price floor, forecasting buyer participation levels, and configuring lot structure for optimal price realisation. No published artificial intelligence system addresses this seller-side, auctioneer-perspective decision problem for physical industrial commodity lots.</w:t>
            </w:r>
          </w:p>
          <w:p>
            <w:pPr>
              <w:spacing w:after="80" w:before="0"/>
              <w:jc w:val="both"/>
            </w:pPr>
            <w:r>
              <w:rPr>
                <w:rFonts w:ascii="Times New Roman" w:cs="Times New Roman" w:eastAsia="Times New Roman" w:hAnsi="Times New Roman"/>
                <w:b w:val="false"/>
                <w:bCs w:val="false"/>
                <w:color w:val="111111"/>
                <w:sz w:val="22"/>
                <w:szCs w:val="22"/>
              </w:rPr>
              <w:t xml:space="preserve">We present AuctionSense, the first multi-agent AI framework designed for seller-side pre-auction intelligence. The system coordinates four specialised agents via LangGraph: a Market Intel Agent that retrieves live commodity price signals and market sentiment; a Reserve Price Agent combining an XGBoost gradient boosting model with SHAP explainability and large language model (LLM) rationale generation; a Buyer Participation Agent using LightGBM to forecast thin-bidder risk and trigger targeted outreach; and a Lot Configuration Agent employing retrieval-augmented few-shot LLM reasoning over historical auction analogues to recommend optimal split or bundle strategies. All agents are orchestrated by an Auction Strategist Agent that synthesises outputs into a natural-language Pre-Auction Briefing.</w:t>
            </w:r>
          </w:p>
          <w:p>
            <w:pPr>
              <w:spacing w:after="80" w:before="0"/>
              <w:jc w:val="both"/>
            </w:pPr>
            <w:r>
              <w:rPr>
                <w:rFonts w:ascii="Times New Roman" w:cs="Times New Roman" w:eastAsia="Times New Roman" w:hAnsi="Times New Roman"/>
                <w:b w:val="false"/>
                <w:bCs w:val="false"/>
                <w:color w:val="111111"/>
                <w:sz w:val="22"/>
                <w:szCs w:val="22"/>
              </w:rPr>
              <w:t xml:space="preserve">We evaluate AuctionSense on a synthetic dataset of 12,000 industrial auction lots calibrated to B2B commodity auction characteristics across five categories, augmented with public commodity price series. The Reserve Price Agent achieves a Mean Absolute Percentage Error (MAPE) of 4.7%, outperforming a spot-price baseline (11.2%) and a linear regression baseline (8.9%). The Buyer Participation Agent achieves AUC-ROC of 0.84, enabling reliable thin-participation risk identification 48 hours before auction events. Lot configuration recommendations achieve a mean expert satisfaction score of 4.1 out of 5.0 across 50 blind evaluation cases.</w:t>
            </w:r>
          </w:p>
          <w:p>
            <w:pPr>
              <w:spacing w:after="0" w:before="0"/>
              <w:jc w:val="both"/>
            </w:pPr>
            <w:r>
              <w:rPr>
                <w:rFonts w:ascii="Times New Roman" w:cs="Times New Roman" w:eastAsia="Times New Roman" w:hAnsi="Times New Roman"/>
                <w:b w:val="false"/>
                <w:bCs w:val="false"/>
                <w:color w:val="111111"/>
                <w:sz w:val="22"/>
                <w:szCs w:val="22"/>
              </w:rPr>
              <w:t xml:space="preserve">AuctionSense addresses three previously unstudied sub-problems in a unified production-ready framework: commodity-conditioned industrial lot clearing price prediction, pre-auction participation risk forecasting, and AI-assisted lot configuration — the last of which has no prior published treatment in any literature. The complete codebase is released under Apache 2.0 at github.com/debray2523/auctionsense.</w:t>
            </w:r>
          </w:p>
        </w:tc>
      </w:tr>
    </w:tbl>
    <w:p>
      <w:pPr>
        <w:spacing w:after="80" w:before="80"/>
      </w:pPr>
      <w:r>
        <w:t xml:space="preserve"/>
      </w:r>
    </w:p>
    <w:p>
      <w:pPr>
        <w:spacing w:after="40" w:before="40"/>
      </w:pPr>
      <w:r>
        <w:rPr>
          <w:rFonts w:ascii="Arial" w:cs="Arial" w:eastAsia="Arial" w:hAnsi="Arial"/>
          <w:b/>
          <w:bCs/>
          <w:color w:val="1B3A6B"/>
          <w:sz w:val="19"/>
          <w:szCs w:val="19"/>
        </w:rPr>
        <w:t xml:space="preserve">Keywords: </w:t>
      </w:r>
      <w:r>
        <w:rPr>
          <w:rFonts w:ascii="Arial" w:cs="Arial" w:eastAsia="Arial" w:hAnsi="Arial"/>
          <w:color w:val="374151"/>
          <w:sz w:val="19"/>
          <w:szCs w:val="19"/>
        </w:rPr>
        <w:t xml:space="preserve">B2B industrial auction; reserve price optimisation; agentic AI; LangGraph; buyer participation prediction; lot configuration; XGBoost; SHAP; LLMOps; commodity auction intelligence; pre-auction decision support; industrial AI</w:t>
      </w:r>
    </w:p>
    <w:p>
      <w:pPr>
        <w:spacing w:after="20" w:before="20"/>
      </w:pPr>
      <w:r>
        <w:rPr>
          <w:rFonts w:ascii="Arial" w:cs="Arial" w:eastAsia="Arial" w:hAnsi="Arial"/>
          <w:b/>
          <w:bCs/>
          <w:color w:val="1B3A6B"/>
          <w:sz w:val="19"/>
          <w:szCs w:val="19"/>
        </w:rPr>
        <w:t xml:space="preserve">GitHub: </w:t>
      </w:r>
      <w:r>
        <w:rPr>
          <w:rFonts w:ascii="Arial" w:cs="Arial" w:eastAsia="Arial" w:hAnsi="Arial"/>
          <w:color w:val="0F6E56"/>
          <w:sz w:val="19"/>
          <w:szCs w:val="19"/>
        </w:rPr>
        <w:t xml:space="preserve">github.com/debray2523/auctionsense  (Apache 2.0)</w:t>
      </w:r>
    </w:p>
    <w:p>
      <w:pPr>
        <w:spacing w:after="200" w:before="20"/>
      </w:pPr>
      <w:r>
        <w:rPr>
          <w:rFonts w:ascii="Arial" w:cs="Arial" w:eastAsia="Arial" w:hAnsi="Arial"/>
          <w:b/>
          <w:bCs/>
          <w:color w:val="1B3A6B"/>
          <w:sz w:val="19"/>
          <w:szCs w:val="19"/>
        </w:rPr>
        <w:t xml:space="preserve">Submitted to: </w:t>
      </w:r>
      <w:r>
        <w:rPr>
          <w:rFonts w:ascii="Arial" w:cs="Arial" w:eastAsia="Arial" w:hAnsi="Arial"/>
          <w:color w:val="374151"/>
          <w:sz w:val="19"/>
          <w:szCs w:val="19"/>
        </w:rPr>
        <w:t xml:space="preserve">Zenodo (preprint, DOI pending) | IEEE IEEM 2026 | SSRN Abstract Series</w:t>
      </w:r>
    </w:p>
    <w:p>
      <w:pPr>
        <w:pStyle w:val="Heading1"/>
        <w:pBdr>
          <w:bottom w:val="single" w:color="1B3A6B" w:sz="4" w:space="4"/>
        </w:pBdr>
        <w:spacing w:after="160" w:before="400"/>
      </w:pPr>
      <w:r>
        <w:rPr>
          <w:rFonts w:ascii="Arial" w:cs="Arial" w:eastAsia="Arial" w:hAnsi="Arial"/>
          <w:b/>
          <w:bCs/>
          <w:color w:val="1B3A6B"/>
          <w:sz w:val="26"/>
          <w:szCs w:val="26"/>
        </w:rPr>
        <w:t xml:space="preserve">1. Introduction</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global market for industrial e-auctions — platforms that facilitate the sale of physical commodity lots through competitive online bidding — has grown dramatically in the past decade. Asia-Pacific B2B steel e-commerce alone is projected to reach USD 36.6 billion by 2035 [1], and the global online auction market is expected to approach USD 340 billion by 2027 [2]. Industrial auction platforms operate across diverse categories: ferrous and non-ferrous metal scrap, idle factory machinery, coal and natural resources, agricultural commodities, government surplus assets, and real estate. For the sellers who use these platforms — industrial enterprises, public sector undertakings, manufacturing companies, and government agencies — the auction clearing price is often the primary mechanism of value recovery from surplus and end-of-life assets.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Despite this scale and economic significance, the three most consequential pre-auction decisions made by auction operators remain entirely experience-driven and manual. The first is the reserve price: the minimum acceptable clearing price that determines whether a lot sells, at what margin, and how many bids it attracts. The second is buyer participation forecasting: predicting whether enough buyers will actively bid to generate competitive tension — the primary driver of price above the reserve floor. The third is lot configuration: deciding whether to sell inventory as a single large lot, split it into multiple smaller lots, or bundle it with complementary inventory — a decision with material financial consequences that is currently made from gut feel alone.</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These three decisions are interconnected and consequential. A reserve price set 10% too high on a large industrial lot produces zero realisation: the lot goes unsold and must be re-auctioned at cost to the operator. A reserve price set 10% too low, combined with thin participation, can mean leaving 15–20% of achievable value on the table. A poorly configured lot — sold as one large bundle when splitting would attract five specialist buyers — can similarly depress aggregate realisation significantly. Yet no published artificial intelligence system exists that addresses any of these three problems for physical industrial commodity auctions from the auctioneer's seller-side perspective.</w:t>
      </w:r>
    </w:p>
    <w:p>
      <w:pPr>
        <w:pStyle w:val="Heading2"/>
        <w:spacing w:after="80" w:before="280"/>
      </w:pPr>
      <w:r>
        <w:rPr>
          <w:rFonts w:ascii="Arial" w:cs="Arial" w:eastAsia="Arial" w:hAnsi="Arial"/>
          <w:b/>
          <w:bCs/>
          <w:color w:val="0F6E56"/>
          <w:sz w:val="23"/>
          <w:szCs w:val="23"/>
        </w:rPr>
        <w:t xml:space="preserve">1.1  The Research Gap</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artificial intelligence literature on auctions is substantial but addresses adjacent problems. Consumer auction price prediction — primarily focused on eBay and art auction closing prices — addresses homogeneous or catalogued items with no commodity market linkage [3, 4]. Reserve price optimisation research is highly developed for digital advertising auctions, where impressions are homogeneous, transactions occur at millisecond scale, and no physical lot configuration problem exists [5, 6]. Commodity price forecasting research produces accurate market price series predictions [7, 8] but does not address auction clearing prices, which diverge from spot prices based on lot-specific attributes, buyer pool characteristics, and auction format effects. Recent work on large language model (LLM) agents in auction contexts [9, 10, 11] addresses theoretical game-theoretic bidder behaviour simulations, not production auctioneer intelligence systems.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common thread across all existing work is perspective: every published system serves the bidder or studies the auction theoretically. No system serves the auctioneer — the platform operator who must set the reserve, forecast participation, and configure lots before the auction begins. This is the gap AuctionSense is designed to fill.</w:t>
      </w:r>
    </w:p>
    <w:p>
      <w:pPr>
        <w:pStyle w:val="Heading2"/>
        <w:spacing w:after="80" w:before="280"/>
      </w:pPr>
      <w:r>
        <w:rPr>
          <w:rFonts w:ascii="Arial" w:cs="Arial" w:eastAsia="Arial" w:hAnsi="Arial"/>
          <w:b/>
          <w:bCs/>
          <w:color w:val="0F6E56"/>
          <w:sz w:val="23"/>
          <w:szCs w:val="23"/>
        </w:rPr>
        <w:t xml:space="preserve">1.2  Contributions</w:t>
      </w:r>
    </w:p>
    <w:p>
      <w:pPr>
        <w:spacing w:after="100" w:before="40"/>
        <w:jc w:val="both"/>
      </w:pPr>
      <w:r>
        <w:rPr>
          <w:rFonts w:ascii="Times New Roman" w:cs="Times New Roman" w:eastAsia="Times New Roman" w:hAnsi="Times New Roman"/>
          <w:b w:val="false"/>
          <w:bCs w:val="false"/>
          <w:color w:val="111111"/>
          <w:sz w:val="22"/>
          <w:szCs w:val="22"/>
        </w:rPr>
        <w:t xml:space="preserve">This paper makes five contributions:</w:t>
      </w:r>
    </w:p>
    <w:p>
      <w:pPr>
        <w:pStyle w:val="ListParagraph"/>
        <w:numPr>
          <w:ilvl w:val="0"/>
          <w:numId w:val="2"/>
        </w:numPr>
        <w:spacing w:after="40" w:before="40"/>
      </w:pPr>
      <w:r>
        <w:rPr>
          <w:rFonts w:ascii="Times New Roman" w:cs="Times New Roman" w:eastAsia="Times New Roman" w:hAnsi="Times New Roman"/>
          <w:b w:val="false"/>
          <w:bCs w:val="false"/>
          <w:color w:val="111111"/>
          <w:sz w:val="22"/>
          <w:szCs w:val="22"/>
        </w:rPr>
        <w:t xml:space="preserve">AuctionSense, the first multi-agent agentic AI framework for seller-side pre-auction intelligence in B2B physical industrial commodity auctions, combining ML prediction with LLM-generated natural language decision support in a human-in-the-loop architecture.</w:t>
      </w:r>
    </w:p>
    <w:p>
      <w:pPr>
        <w:pStyle w:val="ListParagraph"/>
        <w:numPr>
          <w:ilvl w:val="0"/>
          <w:numId w:val="2"/>
        </w:numPr>
        <w:spacing w:after="40" w:before="40"/>
      </w:pPr>
      <w:r>
        <w:rPr>
          <w:rFonts w:ascii="Times New Roman" w:cs="Times New Roman" w:eastAsia="Times New Roman" w:hAnsi="Times New Roman"/>
          <w:b w:val="false"/>
          <w:bCs w:val="false"/>
          <w:color w:val="111111"/>
          <w:sz w:val="22"/>
          <w:szCs w:val="22"/>
        </w:rPr>
        <w:t xml:space="preserve">A commodity-conditioned clearing price prediction model (XGBoost with SHAP explainability) that conditions simultaneously on live commodity market signals and physical lot attributes, achieving MAPE of 4.7% on the test set.</w:t>
      </w:r>
    </w:p>
    <w:p>
      <w:pPr>
        <w:pStyle w:val="ListParagraph"/>
        <w:numPr>
          <w:ilvl w:val="0"/>
          <w:numId w:val="2"/>
        </w:numPr>
        <w:spacing w:after="40" w:before="40"/>
      </w:pPr>
      <w:r>
        <w:rPr>
          <w:rFonts w:ascii="Times New Roman" w:cs="Times New Roman" w:eastAsia="Times New Roman" w:hAnsi="Times New Roman"/>
          <w:b w:val="false"/>
          <w:bCs w:val="false"/>
          <w:color w:val="111111"/>
          <w:sz w:val="22"/>
          <w:szCs w:val="22"/>
        </w:rPr>
        <w:t xml:space="preserve">A buyer participation risk forecasting model (LightGBM) that predicts thin-participation risk per lot 48 hours before the auction event, achieving AUC-ROC of 0.84 and enabling targeted pre-auction outreach.</w:t>
      </w:r>
    </w:p>
    <w:p>
      <w:pPr>
        <w:pStyle w:val="ListParagraph"/>
        <w:numPr>
          <w:ilvl w:val="0"/>
          <w:numId w:val="2"/>
        </w:numPr>
        <w:spacing w:after="40" w:before="40"/>
      </w:pPr>
      <w:r>
        <w:rPr>
          <w:rFonts w:ascii="Times New Roman" w:cs="Times New Roman" w:eastAsia="Times New Roman" w:hAnsi="Times New Roman"/>
          <w:b w:val="false"/>
          <w:bCs w:val="false"/>
          <w:color w:val="111111"/>
          <w:sz w:val="22"/>
          <w:szCs w:val="22"/>
        </w:rPr>
        <w:t xml:space="preserve">A lot configuration intelligence module using retrieval-augmented few-shot LLM reasoning — the first published AI treatment of the lot split/bundle optimisation problem for physical industrial inventory disposal.</w:t>
      </w:r>
    </w:p>
    <w:p>
      <w:pPr>
        <w:pStyle w:val="ListParagraph"/>
        <w:numPr>
          <w:ilvl w:val="0"/>
          <w:numId w:val="2"/>
        </w:numPr>
        <w:spacing w:after="40" w:before="40"/>
      </w:pPr>
      <w:r>
        <w:rPr>
          <w:rFonts w:ascii="Times New Roman" w:cs="Times New Roman" w:eastAsia="Times New Roman" w:hAnsi="Times New Roman"/>
          <w:b w:val="false"/>
          <w:bCs w:val="false"/>
          <w:color w:val="111111"/>
          <w:sz w:val="22"/>
          <w:szCs w:val="22"/>
        </w:rPr>
        <w:t xml:space="preserve">A complete open-source implementation under Apache 2.0 at github.com/debray2523/auctionsense, including a parameterised synthetic data generator, all four agents, FastAPI backend, Streamlit demo UI, MLflow experiment tracking, and Docker deployment.</w:t>
      </w:r>
    </w:p>
    <w:p>
      <w:pPr>
        <w:spacing w:after="0" w:before="60"/>
      </w:pPr>
      <w:r>
        <w:t xml:space="preserve"/>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remainder of the paper is organised as follows. Section 2 surveys related work across five research streams. Section 3 describes the dataset design and feature schemas. Section 4 presents the AuctionSense system architecture in detail. Section 5 reports experimental results. Section 6 discusses deployment implications and limitations. Section 7 concludes.</w:t>
      </w:r>
    </w:p>
    <w:p>
      <w:pPr>
        <w:pStyle w:val="Heading1"/>
        <w:pBdr>
          <w:bottom w:val="single" w:color="1B3A6B" w:sz="4" w:space="4"/>
        </w:pBdr>
        <w:spacing w:after="160" w:before="400"/>
      </w:pPr>
      <w:r>
        <w:rPr>
          <w:rFonts w:ascii="Arial" w:cs="Arial" w:eastAsia="Arial" w:hAnsi="Arial"/>
          <w:b/>
          <w:bCs/>
          <w:color w:val="1B3A6B"/>
          <w:sz w:val="26"/>
          <w:szCs w:val="26"/>
        </w:rPr>
        <w:t xml:space="preserve">2. Related Work</w:t>
      </w:r>
    </w:p>
    <w:p>
      <w:pPr>
        <w:pStyle w:val="Heading2"/>
        <w:spacing w:after="80" w:before="280"/>
      </w:pPr>
      <w:r>
        <w:rPr>
          <w:rFonts w:ascii="Arial" w:cs="Arial" w:eastAsia="Arial" w:hAnsi="Arial"/>
          <w:b/>
          <w:bCs/>
          <w:color w:val="0F6E56"/>
          <w:sz w:val="23"/>
          <w:szCs w:val="23"/>
        </w:rPr>
        <w:t xml:space="preserve">2.1  Consumer and Online Auction Price Prediction</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problem of predicting auction closing prices has been studied extensively in the context of consumer-facing online platforms. Popkowski Leszczyc and Sinha [3] developed early regression models for eBay closing prices conditioned on seller reputation, item condition, and listing duration. Subsequent work introduced neural network approaches to capture non-linear bidding dynamics [4]. More recent systems integrate sentiment analysis from product descriptions and bidder review text [12]. The state of the art in this stream achieves prediction accuracy within 5–8% MAPE for homogeneous consumer goods categories.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However, consumer auction models are architecturally unsuited to industrial B2B contexts for three reasons. First, they assume item homogeneity or detailed catalogue description — neither of which holds for a mixed-grade industrial scrap lot where condition varies within the lot itself. Second, they do not condition on commodity market signals, which are the primary price driver for industrial materials. Third, they model the bidder's perspective (what to bid) rather than the auctioneer's (what reserve to set and how to configure the lot). AuctionSense addresses all three gaps.</w:t>
      </w:r>
    </w:p>
    <w:p>
      <w:pPr>
        <w:pStyle w:val="Heading2"/>
        <w:spacing w:after="80" w:before="280"/>
      </w:pPr>
      <w:r>
        <w:rPr>
          <w:rFonts w:ascii="Arial" w:cs="Arial" w:eastAsia="Arial" w:hAnsi="Arial"/>
          <w:b/>
          <w:bCs/>
          <w:color w:val="0F6E56"/>
          <w:sz w:val="23"/>
          <w:szCs w:val="23"/>
        </w:rPr>
        <w:t xml:space="preserve">2.2  Reserve Price Optimisation in Digital Advertising</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most technically sophisticated reserve price optimisation literature comes from digital advertising, where real-time bidding (RTB) platforms must set floor prices for ad impressions at millisecond scale. Yuan and Wang [5] demonstrated empirically that data-driven reserve prices increase publisher revenue by 1.5–3% over fixed reserves using logistic regression on historical bid distributions. More recent multi-task learning approaches [6] jointly optimise reserve prices across related impression categories, exploiting cross-category signal. Karlsson and Sang [13] developed adaptive bid shading optimisation for first-price sealed-bid transitions. The HOB framework [14] addresses holistic bidding under heterogeneous auction mechanisms.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Despite the sophistication of this stream, its direct applicability to physical industrial auctions is limited. Ad impressions are homogeneous digital goods with no physical delivery, no commodity market linkage, no buyer-lot affinity structure, and no lot configuration decision. The volume differential is also categorical: RTB systems handle millions of transactions per second; industrial auction platforms handle hundreds to thousands of lots per day, making statistical complexity less important than domain-grounded predictive accuracy and explainability for human operators.</w:t>
      </w:r>
    </w:p>
    <w:p>
      <w:pPr>
        <w:pStyle w:val="Heading2"/>
        <w:spacing w:after="80" w:before="280"/>
      </w:pPr>
      <w:r>
        <w:rPr>
          <w:rFonts w:ascii="Arial" w:cs="Arial" w:eastAsia="Arial" w:hAnsi="Arial"/>
          <w:b/>
          <w:bCs/>
          <w:color w:val="0F6E56"/>
          <w:sz w:val="23"/>
          <w:szCs w:val="23"/>
        </w:rPr>
        <w:t xml:space="preserve">2.3  Commodity and Industrial Price Forecasting</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A substantial body of work addresses commodity price forecasting using machine learning. Jin and Xu [7] apply Gaussian Process Regression with Bayesian optimisation to daily steel price index prediction in the east China market, achieving relative RMSE below 0.6%. Tang et al. [8] report similar results for northeast and southwest Chinese regional steel markets. Multiple studies address scrap metal prices specifically [15, 16], with LSTM and XGBoost emerging as consistently strong performers across different commodity series.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These models are valuable for market intelligence but do not address the auction operator's problem. A daily national steel price index is a market signal — an input to the auction decision problem, not the solution to it. The auction clearing price for a specific lot of 150 MT of Grade B ferrous scrap in a given region diverges from the national spot index based on: the specific lot's condition and grade mix, the depth and composition of the buyer pool registered for this lot category in this region, the lead time between listing and auction, seasonal demand patterns, and the specific auction format used. None of the price-series forecasting models incorporate these lot-specific and buyer-pool features. AuctionSense incorporates all of them.</w:t>
      </w:r>
    </w:p>
    <w:p>
      <w:pPr>
        <w:pStyle w:val="Heading2"/>
        <w:spacing w:after="80" w:before="280"/>
      </w:pPr>
      <w:r>
        <w:rPr>
          <w:rFonts w:ascii="Arial" w:cs="Arial" w:eastAsia="Arial" w:hAnsi="Arial"/>
          <w:b/>
          <w:bCs/>
          <w:color w:val="0F6E56"/>
          <w:sz w:val="23"/>
          <w:szCs w:val="23"/>
        </w:rPr>
        <w:t xml:space="preserve">2.4  LLM Agents in Auction and Market Contexts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emergence of LLMs as strategic agents has generated a new wave of auction-relevant research. Agrawal et al. [9] demonstrated that LLM agents in double auction settings learn implicit collusion strategies without direct communication — a finding with significant implications for platform governance. AgenticPay [10] deployed multi-agent LLM negotiation for bilateral buyer-seller transactions, showing that LLM agents can achieve near-Nash equilibrium outcomes in negotiation games. The ProcureGym framework [11] modelled national drug procurement as a multi-agent Markov game and found that LLM agents provided interpretable rationale for bidding strategies that pure RL agents could not. Chen et al. [17] evaluated LLM strategic planning in an auction arena benchmark, finding that frontier models demonstrate sophisticated reasoning about valuation and bidding timing.</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This stream is theoretically rich but practically distant from the industrial auction operator's problem. All cited work studies bidder-side strategic behaviour in theoretical or simulated settings with no physical commodity context. None address the auctioneer's pre-auction decisions of reserve price setting, participation forecasting, or lot configuration. AuctionSense borrows the multi-agent LangGraph orchestration pattern from this literature but applies it to an entirely different problem domain and perspective.</w:t>
      </w:r>
    </w:p>
    <w:p>
      <w:pPr>
        <w:pStyle w:val="Heading2"/>
        <w:spacing w:after="80" w:before="280"/>
      </w:pPr>
      <w:r>
        <w:rPr>
          <w:rFonts w:ascii="Arial" w:cs="Arial" w:eastAsia="Arial" w:hAnsi="Arial"/>
          <w:b/>
          <w:bCs/>
          <w:color w:val="0F6E56"/>
          <w:sz w:val="23"/>
          <w:szCs w:val="23"/>
        </w:rPr>
        <w:t xml:space="preserve">2.5  Buyer Participation and Prescreening in Auctions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Theoretical work on auction prescreening has examined whether auctioneers benefit from selective invitation of bidders rather than open participation. Recent theoretical results [18] show that when auctioneers have noisy signals about bidder valuations, prescreening can improve expected revenue even when it reduces bidder count — because high-value bidders generate competition more efficiently than low-value bidders. Commercial auction platforms (AuctionZip, BidSpotter, LiveAuctioneers) have implemented bidder-side personalisation: AI systems that alert registered buyers about lots matching their historical interests [19].</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However, the gap between existing work and the industrial B2B participation forecasting problem is significant. Theoretical prescreening models address which bidders to invite given valuation signals — a different problem from predicting, per lot, how many registered buyers will actually place a bid and which segments are most likely to participate. Consumer platform personalisation is bidder-side UX — the platform notifying buyers about relevant items. AuctionSense's participation model is auctioneer-side risk management — the platform operator predicting thin-participation risk 48 hours before the event to enable targeted outreach.</w:t>
      </w:r>
    </w:p>
    <w:p>
      <w:pPr>
        <w:pStyle w:val="Heading2"/>
        <w:spacing w:after="80" w:before="280"/>
      </w:pPr>
      <w:r>
        <w:rPr>
          <w:rFonts w:ascii="Arial" w:cs="Arial" w:eastAsia="Arial" w:hAnsi="Arial"/>
          <w:b/>
          <w:bCs/>
          <w:color w:val="0F6E56"/>
          <w:sz w:val="23"/>
          <w:szCs w:val="23"/>
        </w:rPr>
        <w:t xml:space="preserve">2.6  Lot Configuration and Combinatorial Auction Design</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theoretical auction design literature has extensively studied combinatorial auctions — settings where bidders submit bids on bundles of items simultaneously [20]. The Vickrey-Clarke-Groves (VCG) mechanism provides theoretical optimality guarantees for combinatorial settings but is computationally intractable for large item sets and requires bidders to submit exponentially many bids. Practical approximations have been developed for specific domains including spectrum auctions [21] and procurement.</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Despite this theoretical richness, no published work addresses the practical problem that an industrial auction operator faces: given a physical inventory of mixed-grade, mixed-category material, should this be auctioned as one lot, split into N lots, or bundled with complementary inventory — and which configuration maximises aggregate price realisation given the current buyer pool? This is a fundamentally different problem from combinatorial auction mechanism design. It is a pre-auction configuration decision, not an auction mechanism design problem. It requires reasoning from historical data about what configurations have worked for similar inventories with similar buyer pools. To our knowledge, no published AI system — academic or commercial — addresses this specific decision. AuctionSense's Lot Configuration Agent is the first.</w:t>
      </w:r>
    </w:p>
    <w:p>
      <w:pPr>
        <w:spacing w:after="0" w:before="60"/>
      </w:pPr>
      <w:r>
        <w:t xml:space="preserve"/>
      </w:r>
    </w:p>
    <w:tbl>
      <w:tblPr>
        <w:tblW w:type="dxa" w:w="9026"/>
        <w:tblBorders>
          <w:top w:val="single" w:color="1B3A6B" w:sz="4"/>
          <w:left w:val="single" w:color="1B3A6B" w:sz="8"/>
          <w:bottom w:val="single" w:color="1B3A6B" w:sz="1"/>
          <w:right w:val="single" w:color="1B3A6B"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6" w:val="clear"/>
            <w:tcMar>
              <w:top w:type="dxa" w:w="60"/>
              <w:left w:type="dxa" w:w="180"/>
              <w:bottom w:type="dxa" w:w="40"/>
              <w:right w:type="dxa" w:w="180"/>
            </w:tcMar>
          </w:tcPr>
          <w:p>
            <w:pPr>
              <w:spacing w:after="24" w:before="24"/>
            </w:pPr>
            <w:r>
              <w:rPr>
                <w:rFonts w:ascii="Arial" w:cs="Arial" w:eastAsia="Arial" w:hAnsi="Arial"/>
                <w:b/>
                <w:bCs/>
                <w:color w:val="333333"/>
                <w:sz w:val="19"/>
                <w:szCs w:val="19"/>
              </w:rPr>
              <w:t xml:space="preserve">Table 1: Research Gap Summary — AuctionSense vs. Existing Literature</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c>
          <w:tcPr>
            <w:tcW w:type="dxa" w:w="23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Research Stream</w:t>
            </w:r>
          </w:p>
        </w:tc>
        <w:tc>
          <w:tcPr>
            <w:tcW w:type="dxa" w:w="26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Core Limitation</w:t>
            </w:r>
          </w:p>
        </w:tc>
        <w:tc>
          <w:tcPr>
            <w:tcW w:type="dxa" w:w="4126"/>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Gap AuctionSense Fills</w:t>
            </w:r>
          </w:p>
        </w:tc>
      </w:tr>
      <w:tr>
        <w:tc>
          <w:tcPr>
            <w:tcW w:type="dxa" w:w="2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Consumer auction ML</w:t>
            </w:r>
          </w:p>
        </w:tc>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Homogeneous items; bidder-side; no commodity conditioning</w:t>
            </w:r>
          </w:p>
        </w:tc>
        <w:tc>
          <w:tcPr>
            <w:tcW w:type="dxa" w:w="4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Physical commodity lots; auctioneer-side; live market signals</w:t>
            </w:r>
          </w:p>
        </w:tc>
      </w:tr>
      <w:tr>
        <w:tc>
          <w:tcPr>
            <w:tcW w:type="dxa" w:w="23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Ad auction reserve price ML</w:t>
            </w:r>
          </w:p>
        </w:tc>
        <w:tc>
          <w:tcPr>
            <w:tcW w:type="dxa" w:w="2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Digital impressions; no lot design; no buyer affinity</w:t>
            </w:r>
          </w:p>
        </w:tc>
        <w:tc>
          <w:tcPr>
            <w:tcW w:type="dxa" w:w="41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Physical lot attributes; lot config; buyer-lot participation model</w:t>
            </w:r>
          </w:p>
        </w:tc>
      </w:tr>
      <w:tr>
        <w:tc>
          <w:tcPr>
            <w:tcW w:type="dxa" w:w="2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Commodity price forecasting</w:t>
            </w:r>
          </w:p>
        </w:tc>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Market price series; no auction mechanics or lot features</w:t>
            </w:r>
          </w:p>
        </w:tc>
        <w:tc>
          <w:tcPr>
            <w:tcW w:type="dxa" w:w="4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Clearing price model conditioned on lot + commodity + buyer features</w:t>
            </w:r>
          </w:p>
        </w:tc>
      </w:tr>
      <w:tr>
        <w:tc>
          <w:tcPr>
            <w:tcW w:type="dxa" w:w="23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LLM agents in auctions</w:t>
            </w:r>
          </w:p>
        </w:tc>
        <w:tc>
          <w:tcPr>
            <w:tcW w:type="dxa" w:w="2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Theoretical simulation; bidder-side; no physical commodity</w:t>
            </w:r>
          </w:p>
        </w:tc>
        <w:tc>
          <w:tcPr>
            <w:tcW w:type="dxa" w:w="41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Production agentic system; auctioneer-side; physical lots</w:t>
            </w:r>
          </w:p>
        </w:tc>
      </w:tr>
      <w:tr>
        <w:tc>
          <w:tcPr>
            <w:tcW w:type="dxa" w:w="23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Buyer participation (theory)</w:t>
            </w:r>
          </w:p>
        </w:tc>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Valuation signal-based prescreening; theoretical</w:t>
            </w:r>
          </w:p>
        </w:tc>
        <w:tc>
          <w:tcPr>
            <w:tcW w:type="dxa" w:w="4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Per-lot participation probability; thin-risk trigger; outreach</w:t>
            </w:r>
          </w:p>
        </w:tc>
      </w:tr>
      <w:tr>
        <w:tc>
          <w:tcPr>
            <w:tcW w:type="dxa" w:w="23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Lot configuration (theory)</w:t>
            </w:r>
          </w:p>
        </w:tc>
        <w:tc>
          <w:tcPr>
            <w:tcW w:type="dxa" w:w="2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VCG mechanism design; computationally intractable; no ML</w:t>
            </w:r>
          </w:p>
        </w:tc>
        <w:tc>
          <w:tcPr>
            <w:tcW w:type="dxa" w:w="41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First practical AI treatment of split/bundle configuration</w:t>
            </w:r>
          </w:p>
        </w:tc>
      </w:tr>
    </w:tbl>
    <w:p>
      <w:pPr>
        <w:pStyle w:val="Heading1"/>
        <w:pBdr>
          <w:bottom w:val="single" w:color="1B3A6B" w:sz="4" w:space="4"/>
        </w:pBdr>
        <w:spacing w:after="160" w:before="400"/>
      </w:pPr>
      <w:r>
        <w:rPr>
          <w:rFonts w:ascii="Arial" w:cs="Arial" w:eastAsia="Arial" w:hAnsi="Arial"/>
          <w:b/>
          <w:bCs/>
          <w:color w:val="1B3A6B"/>
          <w:sz w:val="26"/>
          <w:szCs w:val="26"/>
        </w:rPr>
        <w:t xml:space="preserve">3. Dataset</w:t>
      </w:r>
    </w:p>
    <w:p>
      <w:pPr>
        <w:pStyle w:val="Heading2"/>
        <w:spacing w:after="80" w:before="280"/>
      </w:pPr>
      <w:r>
        <w:rPr>
          <w:rFonts w:ascii="Arial" w:cs="Arial" w:eastAsia="Arial" w:hAnsi="Arial"/>
          <w:b/>
          <w:bCs/>
          <w:color w:val="0F6E56"/>
          <w:sz w:val="23"/>
          <w:szCs w:val="23"/>
        </w:rPr>
        <w:t xml:space="preserve">3.1  Design Philosophy and Calibration</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AuctionSense is designed as a general-purpose open framework applicable across auction platforms globally. To ensure full reproducibility without confidentiality constraints, we use a synthetic dataset generated to reflect realistic B2B industrial commodity auction characteristics. Synthetic dataset generation is an established methodology in sensitive business domains where proprietary data is unavailable for public release [22]; the key methodological requirement is transparent calibration to realistic parameter ranges.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Our calibration draws from three public sources: (1) historical commodity price series from the Multi-Commodity Exchange of India (MCX), the London Metal Exchange (LME), and the US Bureau of Labor Statistics Producer Price Index for ferrous and non-ferrous metals; (2) publicly disclosed auction volume statistics from major industrial auction operators; (3) academic literature on B2B procurement auction participation rates and price discovery efficiency. Key distributional parameters — mean clearing premium over spot price, participation rate distribution by lot category, lot size distribution by category — are calibrated to fall within ranges consistent with publicly reported industry data.</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full dataset generator is released as src/data/synthetic_generator.py in the AuctionSense GitHub repository. It is fully parameterised: practitioners with proprietary auction data can replace the generator with a data loader while retaining the full agent pipeline unchanged.</w:t>
      </w:r>
    </w:p>
    <w:p>
      <w:pPr>
        <w:pStyle w:val="Heading2"/>
        <w:spacing w:after="80" w:before="280"/>
      </w:pPr>
      <w:r>
        <w:rPr>
          <w:rFonts w:ascii="Arial" w:cs="Arial" w:eastAsia="Arial" w:hAnsi="Arial"/>
          <w:b/>
          <w:bCs/>
          <w:color w:val="0F6E56"/>
          <w:sz w:val="23"/>
          <w:szCs w:val="23"/>
        </w:rPr>
        <w:t xml:space="preserve">3.2  Lot Feature Schema</w:t>
      </w:r>
    </w:p>
    <w:tbl>
      <w:tblPr>
        <w:tblW w:type="dxa" w:w="9026"/>
        <w:tblBorders>
          <w:top w:val="single" w:color="1B3A6B" w:sz="4"/>
          <w:left w:val="single" w:color="1B3A6B" w:sz="8"/>
          <w:bottom w:val="single" w:color="1B3A6B" w:sz="1"/>
          <w:right w:val="single" w:color="1B3A6B"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6" w:val="clear"/>
            <w:tcMar>
              <w:top w:type="dxa" w:w="60"/>
              <w:left w:type="dxa" w:w="180"/>
              <w:bottom w:type="dxa" w:w="40"/>
              <w:right w:type="dxa" w:w="180"/>
            </w:tcMar>
          </w:tcPr>
          <w:p>
            <w:pPr>
              <w:spacing w:after="24" w:before="24"/>
            </w:pPr>
            <w:r>
              <w:rPr>
                <w:rFonts w:ascii="Arial" w:cs="Arial" w:eastAsia="Arial" w:hAnsi="Arial"/>
                <w:b/>
                <w:bCs/>
                <w:color w:val="333333"/>
                <w:sz w:val="19"/>
                <w:szCs w:val="19"/>
              </w:rPr>
              <w:t xml:space="preserve">Table 2: Lot Feature Schema — Reserve Price Model (14 features + 1 target)</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c>
          <w:tcPr>
            <w:tcW w:type="dxa" w:w="24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Feature</w:t>
            </w:r>
          </w:p>
        </w:tc>
        <w:tc>
          <w:tcPr>
            <w:tcW w:type="dxa" w:w="15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Type</w:t>
            </w:r>
          </w:p>
        </w:tc>
        <w:tc>
          <w:tcPr>
            <w:tcW w:type="dxa" w:w="5126"/>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lot_category</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Categorical</w:t>
            </w:r>
          </w:p>
        </w:tc>
        <w:tc>
          <w:tcPr>
            <w:tcW w:type="dxa" w:w="5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Five classes: ferrous scrap / non-ferrous scrap / idle industrial asset / coal / agricultural commodity</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lot_quantity</w:t>
            </w:r>
          </w:p>
        </w:tc>
        <w:tc>
          <w:tcPr>
            <w:tcW w:type="dxa" w:w="1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Numeric (log)</w:t>
            </w:r>
          </w:p>
        </w:tc>
        <w:tc>
          <w:tcPr>
            <w:tcW w:type="dxa" w:w="51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Lot volume in metric tonnes or standard units; log-transformed to handle scale variance across categories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lot_grade</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Ordinal A–D</w:t>
            </w:r>
          </w:p>
        </w:tc>
        <w:tc>
          <w:tcPr>
            <w:tcW w:type="dxa" w:w="5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Material quality and purity grade; Grade A commands highest premium; D trades near or below spot</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lot_location_region</w:t>
            </w:r>
          </w:p>
        </w:tc>
        <w:tc>
          <w:tcPr>
            <w:tcW w:type="dxa" w:w="1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Categorical</w:t>
            </w:r>
          </w:p>
        </w:tc>
        <w:tc>
          <w:tcPr>
            <w:tcW w:type="dxa" w:w="51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Geographic zone (4 regions); affects logistics cost and buyer pool density</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days_to_auction</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Numeric</w:t>
            </w:r>
          </w:p>
        </w:tc>
        <w:tc>
          <w:tcPr>
            <w:tcW w:type="dxa" w:w="5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Lead time from lot listing to auction event; shorter lead time reduces buyer preparation opportunity</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commodity_spot_price</w:t>
            </w:r>
          </w:p>
        </w:tc>
        <w:tc>
          <w:tcPr>
            <w:tcW w:type="dxa" w:w="1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Numeric</w:t>
            </w:r>
          </w:p>
        </w:tc>
        <w:tc>
          <w:tcPr>
            <w:tcW w:type="dxa" w:w="51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Reference commodity price from public exchange (MCX / LME) at listing date</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commodity_30d_trend</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Numeric</w:t>
            </w:r>
          </w:p>
        </w:tc>
        <w:tc>
          <w:tcPr>
            <w:tcW w:type="dxa" w:w="5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30-day price momentum (% change); captures bull/bear market direction at listing</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secondary_commodity_idx</w:t>
            </w:r>
          </w:p>
        </w:tc>
        <w:tc>
          <w:tcPr>
            <w:tcW w:type="dxa" w:w="1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Numeric</w:t>
            </w:r>
          </w:p>
        </w:tc>
        <w:tc>
          <w:tcPr>
            <w:tcW w:type="dxa" w:w="51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Secondary commodity index for non-ferrous lots; LME copper/aluminium/zinc as appropriate</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fx_rate</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Numeric</w:t>
            </w:r>
          </w:p>
        </w:tc>
        <w:tc>
          <w:tcPr>
            <w:tcW w:type="dxa" w:w="5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INR/USD exchange rate where commodity is FX-linked; affects import substitution demand</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registered_buyer_count</w:t>
            </w:r>
          </w:p>
        </w:tc>
        <w:tc>
          <w:tcPr>
            <w:tcW w:type="dxa" w:w="1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Numeric</w:t>
            </w:r>
          </w:p>
        </w:tc>
        <w:tc>
          <w:tcPr>
            <w:tcW w:type="dxa" w:w="51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Number of buyers registered in this lot category on the platform at listing date</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historical_avg_premium</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Numeric</w:t>
            </w:r>
          </w:p>
        </w:tc>
        <w:tc>
          <w:tcPr>
            <w:tcW w:type="dxa" w:w="5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Historical mean clearing premium or discount over spot for same category — rolling 6-month window</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historical_participation_rate</w:t>
            </w:r>
          </w:p>
        </w:tc>
        <w:tc>
          <w:tcPr>
            <w:tcW w:type="dxa" w:w="1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Numeric</w:t>
            </w:r>
          </w:p>
        </w:tc>
        <w:tc>
          <w:tcPr>
            <w:tcW w:type="dxa" w:w="51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Historical mean active bidder count for same category — rolling 6-month window</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season_quarter</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Categorical</w:t>
            </w:r>
          </w:p>
        </w:tc>
        <w:tc>
          <w:tcPr>
            <w:tcW w:type="dxa" w:w="5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Q1–Q4; captures demand seasonality (e.g. construction sector steel demand peaks Q1/Q4 in India)</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auction_format</w:t>
            </w:r>
          </w:p>
        </w:tc>
        <w:tc>
          <w:tcPr>
            <w:tcW w:type="dxa" w:w="1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Categorical</w:t>
            </w:r>
          </w:p>
        </w:tc>
        <w:tc>
          <w:tcPr>
            <w:tcW w:type="dxa" w:w="51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English ascending bid / Sealed bid / Dutch descending — affects price discovery dynamics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clearing_price</w:t>
            </w:r>
          </w:p>
        </w:tc>
        <w:tc>
          <w:tcPr>
            <w:tcW w:type="dxa" w:w="15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Numeric</w:t>
            </w:r>
          </w:p>
        </w:tc>
        <w:tc>
          <w:tcPr>
            <w:tcW w:type="dxa" w:w="51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TARGET: Actual clearing price per unit (₹/MT or ₹/unit) at auction close</w:t>
            </w:r>
          </w:p>
        </w:tc>
      </w:tr>
    </w:tbl>
    <w:p>
      <w:pPr>
        <w:pStyle w:val="Heading2"/>
        <w:spacing w:after="80" w:before="280"/>
      </w:pPr>
      <w:r>
        <w:rPr>
          <w:rFonts w:ascii="Arial" w:cs="Arial" w:eastAsia="Arial" w:hAnsi="Arial"/>
          <w:b/>
          <w:bCs/>
          <w:color w:val="0F6E56"/>
          <w:sz w:val="23"/>
          <w:szCs w:val="23"/>
        </w:rPr>
        <w:t xml:space="preserve">3.3  Buyer-Lot Feature Schema (Participation Model)</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buyer participation model operates at the buyer-lot level: for each registered buyer eligible for a given lot, we generate a feature vector capturing their affinity and engagement history. The target is binary: whether the buyer placed at least one bid on the lot.</w:t>
      </w:r>
    </w:p>
    <w:tbl>
      <w:tblPr>
        <w:tblW w:type="dxa" w:w="9026"/>
        <w:tblBorders>
          <w:top w:val="single" w:color="1B3A6B" w:sz="4"/>
          <w:left w:val="single" w:color="1B3A6B" w:sz="8"/>
          <w:bottom w:val="single" w:color="1B3A6B" w:sz="1"/>
          <w:right w:val="single" w:color="1B3A6B"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6" w:val="clear"/>
            <w:tcMar>
              <w:top w:type="dxa" w:w="60"/>
              <w:left w:type="dxa" w:w="180"/>
              <w:bottom w:type="dxa" w:w="40"/>
              <w:right w:type="dxa" w:w="180"/>
            </w:tcMar>
          </w:tcPr>
          <w:p>
            <w:pPr>
              <w:spacing w:after="24" w:before="24"/>
            </w:pPr>
            <w:r>
              <w:rPr>
                <w:rFonts w:ascii="Arial" w:cs="Arial" w:eastAsia="Arial" w:hAnsi="Arial"/>
                <w:b/>
                <w:bCs/>
                <w:color w:val="333333"/>
                <w:sz w:val="19"/>
                <w:szCs w:val="19"/>
              </w:rPr>
              <w:t xml:space="preserve">Table 3: Buyer-Lot Feature Schema — Participation Model (7 features + 1 target)</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Feature</w:t>
            </w:r>
          </w:p>
        </w:tc>
        <w:tc>
          <w:tcPr>
            <w:tcW w:type="dxa" w:w="14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Type</w:t>
            </w:r>
          </w:p>
        </w:tc>
        <w:tc>
          <w:tcPr>
            <w:tcW w:type="dxa" w:w="4826"/>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buyer_category_affinity</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Numeric [0–1]</w:t>
            </w:r>
          </w:p>
        </w:tc>
        <w:tc>
          <w:tcPr>
            <w:tcW w:type="dxa" w:w="48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Fraction of buyer's historical bids placed in this lot category</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buyer_region_match</w:t>
            </w:r>
          </w:p>
        </w:tc>
        <w:tc>
          <w:tcPr>
            <w:tcW w:type="dxa" w:w="1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Binary</w:t>
            </w:r>
          </w:p>
        </w:tc>
        <w:tc>
          <w:tcPr>
            <w:tcW w:type="dxa" w:w="48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Whether buyer's registered operating region matches lot location zone</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buyer_recency_days</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Numeric</w:t>
            </w:r>
          </w:p>
        </w:tc>
        <w:tc>
          <w:tcPr>
            <w:tcW w:type="dxa" w:w="48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Days since buyer last placed any bid on the platform; proxy for platform engagement</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buyer_win_rate_90d</w:t>
            </w:r>
          </w:p>
        </w:tc>
        <w:tc>
          <w:tcPr>
            <w:tcW w:type="dxa" w:w="1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Numeric [0–1]</w:t>
            </w:r>
          </w:p>
        </w:tc>
        <w:tc>
          <w:tcPr>
            <w:tcW w:type="dxa" w:w="48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Buyer's winning rate over trailing 90 days; proxy for bidding seriousness and financial capacity</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buyer_credit_active</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Binary</w:t>
            </w:r>
          </w:p>
        </w:tc>
        <w:tc>
          <w:tcPr>
            <w:tcW w:type="dxa" w:w="48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Whether buyer has an active credit facility on the platform</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buyer_lot_size_affinity</w:t>
            </w:r>
          </w:p>
        </w:tc>
        <w:tc>
          <w:tcPr>
            <w:tcW w:type="dxa" w:w="1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Categorical</w:t>
            </w:r>
          </w:p>
        </w:tc>
        <w:tc>
          <w:tcPr>
            <w:tcW w:type="dxa" w:w="48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Buyer's historical preference for lot size: small (&lt;50MT) / medium / large (&gt;200MT)</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buyer_category_recency</w:t>
            </w:r>
          </w:p>
        </w:tc>
        <w:tc>
          <w:tcPr>
            <w:tcW w:type="dxa" w:w="1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Numeric</w:t>
            </w:r>
          </w:p>
        </w:tc>
        <w:tc>
          <w:tcPr>
            <w:tcW w:type="dxa" w:w="48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Days since buyer's last bid in this specific lot category</w:t>
            </w:r>
          </w:p>
        </w:tc>
      </w:tr>
      <w:tr>
        <w:tc>
          <w:tcPr>
            <w:tcW w:type="dxa" w:w="28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participated_binary</w:t>
            </w:r>
          </w:p>
        </w:tc>
        <w:tc>
          <w:tcPr>
            <w:tcW w:type="dxa" w:w="1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Binary</w:t>
            </w:r>
          </w:p>
        </w:tc>
        <w:tc>
          <w:tcPr>
            <w:tcW w:type="dxa" w:w="48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TARGET: 1 = buyer placed at least one bid on this lot; 0 = no bid placed</w:t>
            </w:r>
          </w:p>
        </w:tc>
      </w:tr>
    </w:tbl>
    <w:p>
      <w:pPr>
        <w:pStyle w:val="Heading2"/>
        <w:spacing w:after="80" w:before="280"/>
      </w:pPr>
      <w:r>
        <w:rPr>
          <w:rFonts w:ascii="Arial" w:cs="Arial" w:eastAsia="Arial" w:hAnsi="Arial"/>
          <w:b/>
          <w:bCs/>
          <w:color w:val="0F6E56"/>
          <w:sz w:val="23"/>
          <w:szCs w:val="23"/>
        </w:rPr>
        <w:t xml:space="preserve">3.4  Dataset Statistics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final synthetic dataset comprises 12,000 auction lot records and 60,000 buyer-lot affinity records (mean 5 buyer profiles per lot). Lot records are stratified across five categories: ferrous scrap (35%), idle industrial assets (25%), non-ferrous scrap (20%), coal (12%), agricultural commodities (8%), reflecting typical distribution patterns in B2B industrial auction platforms. The participation dataset has a class imbalance of approximately 32% positive (participated) to 68% negative, addressed via class-weight balancing in the LightGBM classifier. The full dataset is split 70/15/15 for training, validation, and test, stratified by lot category to prevent category-specific leakage.</w:t>
      </w:r>
    </w:p>
    <w:p>
      <w:pPr>
        <w:pStyle w:val="Heading1"/>
        <w:pBdr>
          <w:bottom w:val="single" w:color="1B3A6B" w:sz="4" w:space="4"/>
        </w:pBdr>
        <w:spacing w:after="160" w:before="400"/>
      </w:pPr>
      <w:r>
        <w:rPr>
          <w:rFonts w:ascii="Arial" w:cs="Arial" w:eastAsia="Arial" w:hAnsi="Arial"/>
          <w:b/>
          <w:bCs/>
          <w:color w:val="1B3A6B"/>
          <w:sz w:val="26"/>
          <w:szCs w:val="26"/>
        </w:rPr>
        <w:t xml:space="preserve">4. AuctionSense System Architecture</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AuctionSense is a multi-agent system built on the LangGraph StateGraph orchestration framework. The architecture follows the principle of agent specialisation with structured contract interfaces: each agent has a precisely defined input schema (Pydantic model), a single well-bounded responsibility, a structured JSON output contract, and a graceful failure mode that propagates uncertainty downstream rather than silently failing. This design follows the deterministic-agent architecture pattern described in the author's prior work on enterprise agentic systems [23].</w:t>
      </w:r>
    </w:p>
    <w:tbl>
      <w:tblPr>
        <w:tblW w:type="dxa" w:w="9026"/>
        <w:tblBorders>
          <w:top w:val="single" w:color="92400E" w:sz="4"/>
          <w:left w:val="single" w:color="92400E" w:sz="8"/>
          <w:bottom w:val="single" w:color="92400E" w:sz="1"/>
          <w:right w:val="single" w:color="92400E"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BEB" w:val="clear"/>
            <w:tcMar>
              <w:top w:type="dxa" w:w="60"/>
              <w:left w:type="dxa" w:w="180"/>
              <w:bottom w:type="dxa" w:w="40"/>
              <w:right w:type="dxa" w:w="180"/>
            </w:tcMar>
          </w:tcPr>
          <w:p>
            <w:pPr>
              <w:spacing w:after="24" w:before="24"/>
            </w:pPr>
            <w:r>
              <w:rPr>
                <w:rFonts w:ascii="Arial" w:cs="Arial" w:eastAsia="Arial" w:hAnsi="Arial"/>
                <w:b/>
                <w:bCs/>
                <w:color w:val="333333"/>
                <w:sz w:val="19"/>
                <w:szCs w:val="19"/>
              </w:rPr>
              <w:t xml:space="preserve">Figure 1 (Architecture): LangGraph StateGraph showing the five-agent pipeline with conditional branching.</w:t>
            </w:r>
          </w:p>
        </w:tc>
      </w:tr>
      <w:tr>
        <w:tc>
          <w:tcPr>
            <w:tcW w:type="dxa" w:w="9026"/>
            <w:tcBorders>
              <w:top w:val="none" w:color="FFFFFF" w:sz="0"/>
              <w:left w:val="none" w:color="FFFFFF" w:sz="0"/>
              <w:bottom w:val="none" w:color="FFFFFF" w:sz="0"/>
              <w:right w:val="none" w:color="FFFFFF" w:sz="0"/>
            </w:tcBorders>
            <w:shd w:fill="FFFBEB" w:val="clear"/>
            <w:tcMar>
              <w:top w:type="dxa" w:w="60"/>
              <w:left w:type="dxa" w:w="180"/>
              <w:bottom w:type="dxa" w:w="40"/>
              <w:right w:type="dxa" w:w="180"/>
            </w:tcMar>
          </w:tcPr>
          <w:p>
            <w:pPr>
              <w:spacing w:after="24" w:before="24"/>
            </w:pPr>
            <w:r>
              <w:rPr>
                <w:rFonts w:ascii="Arial" w:cs="Arial" w:eastAsia="Arial" w:hAnsi="Arial"/>
                <w:b w:val="false"/>
                <w:bCs w:val="false"/>
                <w:color w:val="333333"/>
                <w:sz w:val="19"/>
                <w:szCs w:val="19"/>
              </w:rPr>
              <w:t xml:space="preserve">→ Left-to-right flow: Lot Input → Market Intel Agent → Reserve Price Agent → Buyer Participation Agent → Lot Config Agent → Auction Strategist → Pre-Auction Briefing</w:t>
            </w:r>
          </w:p>
        </w:tc>
      </w:tr>
      <w:tr>
        <w:tc>
          <w:tcPr>
            <w:tcW w:type="dxa" w:w="9026"/>
            <w:tcBorders>
              <w:top w:val="none" w:color="FFFFFF" w:sz="0"/>
              <w:left w:val="none" w:color="FFFFFF" w:sz="0"/>
              <w:bottom w:val="none" w:color="FFFFFF" w:sz="0"/>
              <w:right w:val="none" w:color="FFFFFF" w:sz="0"/>
            </w:tcBorders>
            <w:shd w:fill="FFFBEB" w:val="clear"/>
            <w:tcMar>
              <w:top w:type="dxa" w:w="60"/>
              <w:left w:type="dxa" w:w="180"/>
              <w:bottom w:type="dxa" w:w="40"/>
              <w:right w:type="dxa" w:w="180"/>
            </w:tcMar>
          </w:tcPr>
          <w:p>
            <w:pPr>
              <w:spacing w:after="24" w:before="24"/>
            </w:pPr>
            <w:r>
              <w:rPr>
                <w:rFonts w:ascii="Arial" w:cs="Arial" w:eastAsia="Arial" w:hAnsi="Arial"/>
                <w:b w:val="false"/>
                <w:bCs w:val="false"/>
                <w:color w:val="333333"/>
                <w:sz w:val="19"/>
                <w:szCs w:val="19"/>
              </w:rPr>
              <w:t xml:space="preserve">→ Conditional edge: if Participation Agent returns HIGH risk, graph routes through Outreach Template branch before Strategist</w:t>
            </w:r>
          </w:p>
        </w:tc>
      </w:tr>
      <w:tr>
        <w:tc>
          <w:tcPr>
            <w:tcW w:type="dxa" w:w="9026"/>
            <w:tcBorders>
              <w:top w:val="none" w:color="FFFFFF" w:sz="0"/>
              <w:left w:val="none" w:color="FFFFFF" w:sz="0"/>
              <w:bottom w:val="none" w:color="FFFFFF" w:sz="0"/>
              <w:right w:val="none" w:color="FFFFFF" w:sz="0"/>
            </w:tcBorders>
            <w:shd w:fill="FFFBEB" w:val="clear"/>
            <w:tcMar>
              <w:top w:type="dxa" w:w="60"/>
              <w:left w:type="dxa" w:w="180"/>
              <w:bottom w:type="dxa" w:w="40"/>
              <w:right w:type="dxa" w:w="180"/>
            </w:tcMar>
          </w:tcPr>
          <w:p>
            <w:pPr>
              <w:spacing w:after="24" w:before="24"/>
            </w:pPr>
            <w:r>
              <w:rPr>
                <w:rFonts w:ascii="Arial" w:cs="Arial" w:eastAsia="Arial" w:hAnsi="Arial"/>
                <w:b w:val="false"/>
                <w:bCs w:val="false"/>
                <w:color w:val="333333"/>
                <w:sz w:val="19"/>
                <w:szCs w:val="19"/>
              </w:rPr>
              <w:t xml:space="preserve">→ Data flows: commodity API (live), historical lot store (pgvector), buyer affinity store (mock CRM), compliance rules (YAML)</w:t>
            </w:r>
          </w:p>
        </w:tc>
      </w:tr>
      <w:tr>
        <w:tc>
          <w:tcPr>
            <w:tcW w:type="dxa" w:w="9026"/>
            <w:tcBorders>
              <w:top w:val="none" w:color="FFFFFF" w:sz="0"/>
              <w:left w:val="none" w:color="FFFFFF" w:sz="0"/>
              <w:bottom w:val="none" w:color="FFFFFF" w:sz="0"/>
              <w:right w:val="none" w:color="FFFFFF" w:sz="0"/>
            </w:tcBorders>
            <w:shd w:fill="FFFBEB" w:val="clear"/>
            <w:tcMar>
              <w:top w:type="dxa" w:w="60"/>
              <w:left w:type="dxa" w:w="180"/>
              <w:bottom w:type="dxa" w:w="40"/>
              <w:right w:type="dxa" w:w="180"/>
            </w:tcMar>
          </w:tcPr>
          <w:p>
            <w:pPr>
              <w:spacing w:after="24" w:before="24"/>
            </w:pPr>
            <w:r>
              <w:rPr>
                <w:rFonts w:ascii="Arial" w:cs="Arial" w:eastAsia="Arial" w:hAnsi="Arial"/>
                <w:b w:val="false"/>
                <w:bCs w:val="false"/>
                <w:color w:val="333333"/>
                <w:sz w:val="19"/>
                <w:szCs w:val="19"/>
              </w:rPr>
              <w:t xml:space="preserve">→ Output: Streamlit UI dashboard + PDF Pre-Auction Briefing</w:t>
            </w:r>
          </w:p>
        </w:tc>
      </w:tr>
    </w:tbl>
    <w:p>
      <w:pPr>
        <w:spacing w:after="0" w:before="60"/>
      </w:pPr>
      <w:r>
        <w:t xml:space="preserve"/>
      </w:r>
    </w:p>
    <w:p>
      <w:pPr>
        <w:pStyle w:val="Heading2"/>
        <w:spacing w:after="80" w:before="280"/>
      </w:pPr>
      <w:r>
        <w:rPr>
          <w:rFonts w:ascii="Arial" w:cs="Arial" w:eastAsia="Arial" w:hAnsi="Arial"/>
          <w:b/>
          <w:bCs/>
          <w:color w:val="0F6E56"/>
          <w:sz w:val="23"/>
          <w:szCs w:val="23"/>
        </w:rPr>
        <w:t xml:space="preserve">4.1  Agent 1 — Market Intel Agent</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Market Intel Agent is the pipeline's entry point. It accepts the lot's commodity category and listing date and returns a structured market context JSON that is appended to the shared LangGraph state and consumed by all downstream agents.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agent uses a LangChain ReAct loop with three tools: (1) a commodity price API tool that queries public exchange endpoints (yfinance for LME metals, MCX historical API for Indian commodity markets); (2) a web search tool that retrieves and summarises recent commodity market news headlines relevant to the lot category; (3) a foreign exchange rate tool for FX-linked commodities. The LLM (GPT-4o) orchestrates tool calls and synthesises outputs into a structured response constrained by a Pydantic output schema. The system prompt instructs the model to produce conservative sentiment scores and to flag uncertainty when price data is more than 24 hours stale.</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Output schema: { commodity_spot_price: float, commodity_30d_trend: float, fx_rate: float, market_sentiment_score: float [0–1], news_summary: str [max 200 words], data_staleness_hours: int, staleness_flag: bool }.</w:t>
      </w:r>
    </w:p>
    <w:p>
      <w:pPr>
        <w:pStyle w:val="Heading2"/>
        <w:spacing w:after="80" w:before="280"/>
      </w:pPr>
      <w:r>
        <w:rPr>
          <w:rFonts w:ascii="Arial" w:cs="Arial" w:eastAsia="Arial" w:hAnsi="Arial"/>
          <w:b/>
          <w:bCs/>
          <w:color w:val="0F6E56"/>
          <w:sz w:val="23"/>
          <w:szCs w:val="23"/>
        </w:rPr>
        <w:t xml:space="preserve">4.2  Agent 2 — Reserve Price Agent</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Reserve Price Agent is the quantitative core of AuctionSense. It takes the lot attributes and market context from Agent 1 and returns a reserve price recommendation with confidence interval and natural language rationale.</w:t>
      </w:r>
    </w:p>
    <w:p>
      <w:pPr>
        <w:pStyle w:val="Heading3"/>
        <w:spacing w:after="60" w:before="180"/>
      </w:pPr>
      <w:r>
        <w:rPr>
          <w:rFonts w:ascii="Arial" w:cs="Arial" w:eastAsia="Arial" w:hAnsi="Arial"/>
          <w:b/>
          <w:bCs/>
          <w:color w:val="374151"/>
          <w:sz w:val="22"/>
          <w:szCs w:val="22"/>
        </w:rPr>
        <w:t xml:space="preserve">4.2.1  XGBoost Clearing Price Model</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We train an XGBoost gradient boosting regressor on the 14-feature lot schema (Table 2) extended with the four Market Intel Agent outputs (commodity_spot_price, commodity_30d_trend, fx_rate, market_sentiment_score), giving 18 input features at inference time. XGBoost is selected over alternatives (Random Forest, LightGBM, Linear Regression) based on validation set MAPE across 5-fold cross-validation. Hyperparameters are tuned via grid search over { n_estimators: [200,400,600], max_depth: [4,6,8], learning_rate: [0.05,0.1,0.2], subsample: [0.7,0.9], colsample_bytree: [0.7,0.9] }.</w:t>
      </w:r>
    </w:p>
    <w:p>
      <w:pPr>
        <w:pStyle w:val="Heading3"/>
        <w:spacing w:after="60" w:before="180"/>
      </w:pPr>
      <w:r>
        <w:rPr>
          <w:rFonts w:ascii="Arial" w:cs="Arial" w:eastAsia="Arial" w:hAnsi="Arial"/>
          <w:b/>
          <w:bCs/>
          <w:color w:val="374151"/>
          <w:sz w:val="22"/>
          <w:szCs w:val="22"/>
        </w:rPr>
        <w:t xml:space="preserve">4.2.2  SHAP Explainability Layer</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To support the human-in-the-loop requirement, every prediction is accompanied by a SHAP (SHapley Additive exPlanations) force plot generated by the TreeExplainer. The top 5 SHAP contributors — the five input features with the largest absolute SHAP values for this specific prediction — are extracted as structured data and passed to the LLM rationale layer. SHAP is preferred over alternative explainability methods (LIME, permutation importance) because it is the only method providing consistent local explanations guaranteed to sum to the model's total output deviation from the baseline, making it reliable for audit and compliance purposes.</w:t>
      </w:r>
    </w:p>
    <w:p>
      <w:pPr>
        <w:pStyle w:val="Heading3"/>
        <w:spacing w:after="60" w:before="180"/>
      </w:pPr>
      <w:r>
        <w:rPr>
          <w:rFonts w:ascii="Arial" w:cs="Arial" w:eastAsia="Arial" w:hAnsi="Arial"/>
          <w:b/>
          <w:bCs/>
          <w:color w:val="374151"/>
          <w:sz w:val="22"/>
          <w:szCs w:val="22"/>
        </w:rPr>
        <w:t xml:space="preserve">4.2.3  LLM Rationale Layer</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SHAP top-5 contributors and the predicted price are passed to GPT-4o with a structured prompt instructing it to generate a 3-sentence natural language explanation of the recommendation for a non-technical auction manager. The prompt explicitly prohibits fabrication of feature values not present in the SHAP output and requires the explanation to distinguish between market factors (commodity trend, FX) and lot-specific factors (grade, quantity, location). The resulting rationale is included verbatim in the Pre-Auction Briefing.</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Reserve band formula: reserve_lower = predicted_price × (1 − confidence_margin); reserve_upper = predicted_price × 0.97. The 3% upper buffer reflects standard practice: setting the reserve at the predicted clearing price would leave no upside for the bidding process. The confidence_margin is derived from the model's prediction interval on the validation set for the relevant lot category.</w:t>
      </w:r>
    </w:p>
    <w:p>
      <w:pPr>
        <w:pStyle w:val="Heading2"/>
        <w:spacing w:after="80" w:before="280"/>
      </w:pPr>
      <w:r>
        <w:rPr>
          <w:rFonts w:ascii="Arial" w:cs="Arial" w:eastAsia="Arial" w:hAnsi="Arial"/>
          <w:b/>
          <w:bCs/>
          <w:color w:val="0F6E56"/>
          <w:sz w:val="23"/>
          <w:szCs w:val="23"/>
        </w:rPr>
        <w:t xml:space="preserve">4.3  Agent 3 — Buyer Participation Agent</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Buyer Participation Agent forecasts the expected number of active bidders for the specific lot and assesses thin-participation risk — the condition where fewer than four bidders compete, which empirically correlates with 15–25% lower price realisation relative to lots with five or more active bidders [4].</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agent applies the trained LightGBM binary classification model to each registered buyer in the lot's category, producing a participation probability score. Scores are aggregated to produce expected_bidder_count (sum of probabilities across the buyer population) and a risk classification: HIGH (expected_bidder_count &lt; 4), MEDIUM (4–6), LOW (&gt;6). When risk is HIGH, the agent identifies the top-10 most-likely participants who have not been marked as already contacted, and generates a targeted outreach message template via GPT-4o. The message is personalised to the buyer's historical affinity with the lot category and includes specific lot details that are relevant to their buying profile.</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agent's output also includes a confidence score reflecting the model's AUC on the relevant lot category subset of the validation set, allowing the auction manager to calibrate their trust in the participation forecast appropriately.</w:t>
      </w:r>
    </w:p>
    <w:p>
      <w:pPr>
        <w:pStyle w:val="Heading2"/>
        <w:spacing w:after="80" w:before="280"/>
      </w:pPr>
      <w:r>
        <w:rPr>
          <w:rFonts w:ascii="Arial" w:cs="Arial" w:eastAsia="Arial" w:hAnsi="Arial"/>
          <w:b/>
          <w:bCs/>
          <w:color w:val="0F6E56"/>
          <w:sz w:val="23"/>
          <w:szCs w:val="23"/>
        </w:rPr>
        <w:t xml:space="preserve">4.4  Agent 4 — Lot Configuration Agent</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Lot Configuration Agent recommends whether to sell the inventory as-is (single lot), split into N sub-lots, or bundle with complementary inventory. This is the most novel component of AuctionSense: no prior published AI system addresses this specific decision problem.</w:t>
      </w:r>
    </w:p>
    <w:p>
      <w:pPr>
        <w:pStyle w:val="Heading3"/>
        <w:spacing w:after="60" w:before="180"/>
      </w:pPr>
      <w:r>
        <w:rPr>
          <w:rFonts w:ascii="Arial" w:cs="Arial" w:eastAsia="Arial" w:hAnsi="Arial"/>
          <w:b/>
          <w:bCs/>
          <w:color w:val="374151"/>
          <w:sz w:val="22"/>
          <w:szCs w:val="22"/>
        </w:rPr>
        <w:t xml:space="preserve">4.4.1  Why Retrieval-Augmented Reasoning Rather Than a Classifier</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lot configuration decision is a low-frequency, high-stakes judgment that requires contextual reasoning over historical analogues. Unlike the reserve price prediction (12,000 training examples with continuous targets) and participation classification (60,000 buyer-lot records), labelled lot configuration outcome data is sparse: auction platforms rarely run controlled experiments on lot configuration, and determining which configuration was 'optimal' requires counterfactual reasoning about what would have happened under alternative configurations. For this reason, we adopt retrieval-augmented few-shot LLM reasoning rather than a trained classifier, following the methodology established in knowledge-intensive NLP tasks [24].</w:t>
      </w:r>
    </w:p>
    <w:p>
      <w:pPr>
        <w:pStyle w:val="Heading3"/>
        <w:spacing w:after="60" w:before="180"/>
      </w:pPr>
      <w:r>
        <w:rPr>
          <w:rFonts w:ascii="Arial" w:cs="Arial" w:eastAsia="Arial" w:hAnsi="Arial"/>
          <w:b/>
          <w:bCs/>
          <w:color w:val="374151"/>
          <w:sz w:val="22"/>
          <w:szCs w:val="22"/>
        </w:rPr>
        <w:t xml:space="preserve">4.4.2  Vector Store and Retrieval</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Historical auction lot records — including their configuration decisions, outcome metrics (clearing price, buyer count, time-to-sell), and operator notes — are embedded using the OpenAI text-embedding-3-small model and stored in a pgvector-indexed PostgreSQL database. At inference time, the lot under evaluation is embedded and the 5 most similar historical lots are retrieved by cosine similarity. Similarity is computed over a weighted feature space that prioritises category match (highest weight), quantity range match, grade match, and regional match, with market condition features down-weighted to avoid retrieval of cases from significantly different commodity market regimes.</w:t>
      </w:r>
    </w:p>
    <w:p>
      <w:pPr>
        <w:pStyle w:val="Heading3"/>
        <w:spacing w:after="60" w:before="180"/>
      </w:pPr>
      <w:r>
        <w:rPr>
          <w:rFonts w:ascii="Arial" w:cs="Arial" w:eastAsia="Arial" w:hAnsi="Arial"/>
          <w:b/>
          <w:bCs/>
          <w:color w:val="374151"/>
          <w:sz w:val="22"/>
          <w:szCs w:val="22"/>
        </w:rPr>
        <w:t xml:space="preserve">4.4.3  LLM Reasoning over Retrieved Analogues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5 retrieved analogues — each with their configuration decision, realised outcome, and any available operator notes — are presented to GPT-4o with a structured system prompt that instructs the model to: (1) identify the most relevant analogues for the current lot, (2) reason explicitly about how the current lot differs from the analogues and what those differences imply for configuration, (3) produce a specific configuration recommendation with confidence level, (4) estimate the approximate price realisation uplift from the recommended configuration versus the as-is alternative. The prompt includes an explicit uncertainty acknowledgement directive: the model must flag when retrieved analogues are insufficiently similar to support a confident recommendation.</w:t>
      </w:r>
    </w:p>
    <w:p>
      <w:pPr>
        <w:pStyle w:val="Heading2"/>
        <w:spacing w:after="80" w:before="280"/>
      </w:pPr>
      <w:r>
        <w:rPr>
          <w:rFonts w:ascii="Arial" w:cs="Arial" w:eastAsia="Arial" w:hAnsi="Arial"/>
          <w:b/>
          <w:bCs/>
          <w:color w:val="0F6E56"/>
          <w:sz w:val="23"/>
          <w:szCs w:val="23"/>
        </w:rPr>
        <w:t xml:space="preserve">4.5  Auction Strategist Agent (Orchestrator)</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Auction Strategist Agent orchestrates the full pipeline via LangGraph's StateGraph and synthesises all agent outputs into the Pre-Auction Briefing. The LangGraph implementation uses typed state (Pydantic BaseModel) propagated through the graph, ensuring that each agent receives only the fields it requires and that output contracts are validated at each edge.</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orchestrator implements three conditional branching rules: (1) if staleness_flag is True from Agent 1, the Reserve Price Agent applies 15% wider confidence intervals; (2) if participation_risk is HIGH from Agent 3, the graph routes through an outreach template generation step before the Strategist; (3) if lot_config_confidence is LOW from Agent 4, the Strategist includes an explicit caveat in the briefing rather than presenting the recommendation as confident.</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Pre-Auction Briefing produced by the Strategist is a structured document delivered via Streamlit dashboard and PDF export. It contains: (1) the reserve price recommendation with confidence interval and 3-sentence rationale; (2) participation risk assessment with expected bidder count and, if applicable, top-10 outreach targets with personalised message template; (3) lot configuration recommendation with analogues and estimated uplift; (4) market context summary (200 words); (5) compliance status — the YAML-configured deterministic rules engine checks the reserve against any operator-configured floor constraints and flags any violations before the briefing is finalised; (6) a 200-word executive summary written by GPT-4o for the auction manager.</w:t>
      </w:r>
    </w:p>
    <w:p>
      <w:pPr>
        <w:pStyle w:val="Heading1"/>
        <w:pBdr>
          <w:bottom w:val="single" w:color="1B3A6B" w:sz="4" w:space="4"/>
        </w:pBdr>
        <w:spacing w:after="160" w:before="400"/>
      </w:pPr>
      <w:r>
        <w:rPr>
          <w:rFonts w:ascii="Arial" w:cs="Arial" w:eastAsia="Arial" w:hAnsi="Arial"/>
          <w:b/>
          <w:bCs/>
          <w:color w:val="1B3A6B"/>
          <w:sz w:val="26"/>
          <w:szCs w:val="26"/>
        </w:rPr>
        <w:t xml:space="preserve">5. Experiments and Results</w:t>
      </w:r>
    </w:p>
    <w:p>
      <w:pPr>
        <w:pStyle w:val="Heading2"/>
        <w:spacing w:after="80" w:before="280"/>
      </w:pPr>
      <w:r>
        <w:rPr>
          <w:rFonts w:ascii="Arial" w:cs="Arial" w:eastAsia="Arial" w:hAnsi="Arial"/>
          <w:b/>
          <w:bCs/>
          <w:color w:val="0F6E56"/>
          <w:sz w:val="23"/>
          <w:szCs w:val="23"/>
        </w:rPr>
        <w:t xml:space="preserve">5.1  Experimental Setup</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All ML experiments use Python 3.11, XGBoost 2.1, LightGBM 4.3, scikit-learn 1.5, and SHAP 0.45. LangGraph agents use LangGraph 0.2.x with LangChain 0.2.x and Azure OpenAI GPT-4o (API version 2024-05). Experiment tracking uses MLflow 2.14. All experiments are run with fixed random seeds (seed=42 for all stochastic components). The full experiment specification, including all hyperparameter grids, is version-controlled in configs/hyperparameters.yaml in the GitHub repository.</w:t>
      </w:r>
    </w:p>
    <w:p>
      <w:pPr>
        <w:pStyle w:val="Heading2"/>
        <w:spacing w:after="80" w:before="280"/>
      </w:pPr>
      <w:r>
        <w:rPr>
          <w:rFonts w:ascii="Arial" w:cs="Arial" w:eastAsia="Arial" w:hAnsi="Arial"/>
          <w:b/>
          <w:bCs/>
          <w:color w:val="0F6E56"/>
          <w:sz w:val="23"/>
          <w:szCs w:val="23"/>
        </w:rPr>
        <w:t xml:space="preserve">5.2  Reserve Price Agent — Regression Results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We compare the XGBoost Reserve Price Agent against four baselines on the 15% held-out test set: (1) Spot Price Baseline — predicts clearing price as the commodity spot price on listing date, with no lot-specific adjustment; (2) Historical Average Baseline — predicts the historical mean clearing price for the lot category; (3) Linear Regression — trained on the same 18-feature set; (4) LightGBM — an alternative gradient boosting implementation. Primary metric is MAPE (Mean Absolute Percentage Error), which is scale-invariant and interpretable as a percentage deviation from actual clearing price. Secondary metrics are RMSE and R².</w:t>
      </w:r>
    </w:p>
    <w:tbl>
      <w:tblPr>
        <w:tblW w:type="dxa" w:w="9026"/>
        <w:tblBorders>
          <w:top w:val="single" w:color="1B3A6B" w:sz="4"/>
          <w:left w:val="single" w:color="1B3A6B" w:sz="8"/>
          <w:bottom w:val="single" w:color="1B3A6B" w:sz="1"/>
          <w:right w:val="single" w:color="1B3A6B"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6" w:val="clear"/>
            <w:tcMar>
              <w:top w:type="dxa" w:w="60"/>
              <w:left w:type="dxa" w:w="180"/>
              <w:bottom w:type="dxa" w:w="40"/>
              <w:right w:type="dxa" w:w="180"/>
            </w:tcMar>
          </w:tcPr>
          <w:p>
            <w:pPr>
              <w:spacing w:after="24" w:before="24"/>
            </w:pPr>
            <w:r>
              <w:rPr>
                <w:rFonts w:ascii="Arial" w:cs="Arial" w:eastAsia="Arial" w:hAnsi="Arial"/>
                <w:b/>
                <w:bCs/>
                <w:color w:val="333333"/>
                <w:sz w:val="19"/>
                <w:szCs w:val="19"/>
              </w:rPr>
              <w:t xml:space="preserve">Table 4: Reserve Price Agent — Regression Results on Test Set (n = 1,800 lots)</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6"/>
        <w:gridCol w:w="1706"/>
        <w:gridCol w:w="1706"/>
        <w:gridCol w:w="1308"/>
      </w:tblGrid>
      <w:tr>
        <w:tc>
          <w:tcPr>
            <w:tcW w:type="dxa" w:w="26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Model</w:t>
            </w:r>
          </w:p>
        </w:tc>
        <w:tc>
          <w:tcPr>
            <w:tcW w:type="dxa" w:w="1706"/>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MAPE (%)</w:t>
            </w:r>
          </w:p>
        </w:tc>
        <w:tc>
          <w:tcPr>
            <w:tcW w:type="dxa" w:w="1706"/>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RMSE (₹/MT)</w:t>
            </w:r>
          </w:p>
        </w:tc>
        <w:tc>
          <w:tcPr>
            <w:tcW w:type="dxa" w:w="1706"/>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R²</w:t>
            </w:r>
          </w:p>
        </w:tc>
        <w:tc>
          <w:tcPr>
            <w:tcW w:type="dxa" w:w="1308"/>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Notes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Spot Price Baseline</w:t>
            </w:r>
          </w:p>
        </w:tc>
        <w:tc>
          <w:tcPr>
            <w:tcW w:type="dxa" w:w="170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11.2</w:t>
            </w:r>
          </w:p>
        </w:tc>
        <w:tc>
          <w:tcPr>
            <w:tcW w:type="dxa" w:w="170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847</w:t>
            </w:r>
          </w:p>
        </w:tc>
        <w:tc>
          <w:tcPr>
            <w:tcW w:type="dxa" w:w="170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0.61</w:t>
            </w:r>
          </w:p>
        </w:tc>
        <w:tc>
          <w:tcPr>
            <w:tcW w:type="dxa" w:w="1308"/>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Lower bound</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Historical Average Baseline</w:t>
            </w:r>
          </w:p>
        </w:tc>
        <w:tc>
          <w:tcPr>
            <w:tcW w:type="dxa" w:w="170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9.8</w:t>
            </w:r>
          </w:p>
        </w:tc>
        <w:tc>
          <w:tcPr>
            <w:tcW w:type="dxa" w:w="170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763</w:t>
            </w:r>
          </w:p>
        </w:tc>
        <w:tc>
          <w:tcPr>
            <w:tcW w:type="dxa" w:w="170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0.67</w:t>
            </w:r>
          </w:p>
        </w:tc>
        <w:tc>
          <w:tcPr>
            <w:tcW w:type="dxa" w:w="1308"/>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Category mean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Linear Regression</w:t>
            </w:r>
          </w:p>
        </w:tc>
        <w:tc>
          <w:tcPr>
            <w:tcW w:type="dxa" w:w="170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8.9</w:t>
            </w:r>
          </w:p>
        </w:tc>
        <w:tc>
          <w:tcPr>
            <w:tcW w:type="dxa" w:w="170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672</w:t>
            </w:r>
          </w:p>
        </w:tc>
        <w:tc>
          <w:tcPr>
            <w:tcW w:type="dxa" w:w="170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0.73</w:t>
            </w:r>
          </w:p>
        </w:tc>
        <w:tc>
          <w:tcPr>
            <w:tcW w:type="dxa" w:w="1308"/>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18 features</w:t>
            </w:r>
          </w:p>
        </w:tc>
      </w:tr>
      <w:tr>
        <w:tc>
          <w:tcPr>
            <w:tcW w:type="dxa" w:w="26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LightGBM</w:t>
            </w:r>
          </w:p>
        </w:tc>
        <w:tc>
          <w:tcPr>
            <w:tcW w:type="dxa" w:w="170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5.4</w:t>
            </w:r>
          </w:p>
        </w:tc>
        <w:tc>
          <w:tcPr>
            <w:tcW w:type="dxa" w:w="170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413</w:t>
            </w:r>
          </w:p>
        </w:tc>
        <w:tc>
          <w:tcPr>
            <w:tcW w:type="dxa" w:w="170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0.88</w:t>
            </w:r>
          </w:p>
        </w:tc>
        <w:tc>
          <w:tcPr>
            <w:tcW w:type="dxa" w:w="1308"/>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Grid-tuned</w:t>
            </w:r>
          </w:p>
        </w:tc>
      </w:tr>
      <w:tr>
        <w:tc>
          <w:tcPr>
            <w:tcW w:type="dxa" w:w="2600"/>
            <w:tcBorders>
              <w:top w:val="single" w:color="D1D5DB" w:sz="1"/>
              <w:left w:val="single" w:color="D1D5DB" w:sz="1"/>
              <w:bottom w:val="single" w:color="D1D5DB" w:sz="1"/>
              <w:right w:val="single" w:color="D1D5DB" w:sz="1"/>
            </w:tcBorders>
            <w:shd w:fill="E6F5EE" w:val="clear"/>
            <w:tcMar>
              <w:top w:type="dxa" w:w="70"/>
              <w:left w:type="dxa" w:w="120"/>
              <w:bottom w:type="dxa" w:w="70"/>
              <w:right w:type="dxa" w:w="120"/>
            </w:tcMar>
          </w:tcPr>
          <w:p>
            <w:r>
              <w:rPr>
                <w:rFonts w:ascii="Arial" w:cs="Arial" w:eastAsia="Arial" w:hAnsi="Arial"/>
                <w:b/>
                <w:bCs/>
                <w:color w:val="0F6E56"/>
                <w:sz w:val="19"/>
                <w:szCs w:val="19"/>
              </w:rPr>
              <w:t xml:space="preserve">XGBoost — AuctionSense</w:t>
            </w:r>
          </w:p>
        </w:tc>
        <w:tc>
          <w:tcPr>
            <w:tcW w:type="dxa" w:w="1706"/>
            <w:tcBorders>
              <w:top w:val="single" w:color="D1D5DB" w:sz="1"/>
              <w:left w:val="single" w:color="D1D5DB" w:sz="1"/>
              <w:bottom w:val="single" w:color="D1D5DB" w:sz="1"/>
              <w:right w:val="single" w:color="D1D5DB" w:sz="1"/>
            </w:tcBorders>
            <w:shd w:fill="E6F5EE" w:val="clear"/>
            <w:tcMar>
              <w:top w:type="dxa" w:w="70"/>
              <w:left w:type="dxa" w:w="120"/>
              <w:bottom w:type="dxa" w:w="70"/>
              <w:right w:type="dxa" w:w="120"/>
            </w:tcMar>
          </w:tcPr>
          <w:p>
            <w:r>
              <w:rPr>
                <w:rFonts w:ascii="Arial" w:cs="Arial" w:eastAsia="Arial" w:hAnsi="Arial"/>
                <w:b/>
                <w:bCs/>
                <w:color w:val="0F6E56"/>
                <w:sz w:val="19"/>
                <w:szCs w:val="19"/>
              </w:rPr>
              <w:t xml:space="preserve">4.7</w:t>
            </w:r>
          </w:p>
        </w:tc>
        <w:tc>
          <w:tcPr>
            <w:tcW w:type="dxa" w:w="1706"/>
            <w:tcBorders>
              <w:top w:val="single" w:color="D1D5DB" w:sz="1"/>
              <w:left w:val="single" w:color="D1D5DB" w:sz="1"/>
              <w:bottom w:val="single" w:color="D1D5DB" w:sz="1"/>
              <w:right w:val="single" w:color="D1D5DB" w:sz="1"/>
            </w:tcBorders>
            <w:shd w:fill="E6F5EE" w:val="clear"/>
            <w:tcMar>
              <w:top w:type="dxa" w:w="70"/>
              <w:left w:type="dxa" w:w="120"/>
              <w:bottom w:type="dxa" w:w="70"/>
              <w:right w:type="dxa" w:w="120"/>
            </w:tcMar>
          </w:tcPr>
          <w:p>
            <w:r>
              <w:rPr>
                <w:rFonts w:ascii="Arial" w:cs="Arial" w:eastAsia="Arial" w:hAnsi="Arial"/>
                <w:b/>
                <w:bCs/>
                <w:color w:val="0F6E56"/>
                <w:sz w:val="19"/>
                <w:szCs w:val="19"/>
              </w:rPr>
              <w:t xml:space="preserve">361</w:t>
            </w:r>
          </w:p>
        </w:tc>
        <w:tc>
          <w:tcPr>
            <w:tcW w:type="dxa" w:w="1706"/>
            <w:tcBorders>
              <w:top w:val="single" w:color="D1D5DB" w:sz="1"/>
              <w:left w:val="single" w:color="D1D5DB" w:sz="1"/>
              <w:bottom w:val="single" w:color="D1D5DB" w:sz="1"/>
              <w:right w:val="single" w:color="D1D5DB" w:sz="1"/>
            </w:tcBorders>
            <w:shd w:fill="E6F5EE" w:val="clear"/>
            <w:tcMar>
              <w:top w:type="dxa" w:w="70"/>
              <w:left w:type="dxa" w:w="120"/>
              <w:bottom w:type="dxa" w:w="70"/>
              <w:right w:type="dxa" w:w="120"/>
            </w:tcMar>
          </w:tcPr>
          <w:p>
            <w:r>
              <w:rPr>
                <w:rFonts w:ascii="Arial" w:cs="Arial" w:eastAsia="Arial" w:hAnsi="Arial"/>
                <w:b/>
                <w:bCs/>
                <w:color w:val="0F6E56"/>
                <w:sz w:val="19"/>
                <w:szCs w:val="19"/>
              </w:rPr>
              <w:t xml:space="preserve">0.91</w:t>
            </w:r>
          </w:p>
        </w:tc>
        <w:tc>
          <w:tcPr>
            <w:tcW w:type="dxa" w:w="1308"/>
            <w:tcBorders>
              <w:top w:val="single" w:color="D1D5DB" w:sz="1"/>
              <w:left w:val="single" w:color="D1D5DB" w:sz="1"/>
              <w:bottom w:val="single" w:color="D1D5DB" w:sz="1"/>
              <w:right w:val="single" w:color="D1D5DB" w:sz="1"/>
            </w:tcBorders>
            <w:shd w:fill="E6F5EE" w:val="clear"/>
            <w:tcMar>
              <w:top w:type="dxa" w:w="70"/>
              <w:left w:type="dxa" w:w="120"/>
              <w:bottom w:type="dxa" w:w="70"/>
              <w:right w:type="dxa" w:w="120"/>
            </w:tcMar>
          </w:tcPr>
          <w:p>
            <w:r>
              <w:rPr>
                <w:rFonts w:ascii="Arial" w:cs="Arial" w:eastAsia="Arial" w:hAnsi="Arial"/>
                <w:b/>
                <w:bCs/>
                <w:color w:val="0F6E56"/>
                <w:sz w:val="19"/>
                <w:szCs w:val="19"/>
              </w:rPr>
              <w:t xml:space="preserve">★ Best</w:t>
            </w:r>
          </w:p>
        </w:tc>
      </w:tr>
    </w:tbl>
    <w:p>
      <w:pPr>
        <w:spacing w:after="0" w:before="60"/>
      </w:pPr>
      <w:r>
        <w:t xml:space="preserve"/>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XGBoost Reserve Price Agent achieves MAPE of 4.7%, a 58% reduction over the spot price baseline (11.2%) and a 47% reduction over the linear regression baseline (8.9%). The improvement over LightGBM (5.4%) is moderate, suggesting that the XGBoost-specific hyperparameter landscape — particularly the colsample_bytree regularisation interaction — is better suited to the feature correlation structure present in commodity-lot datasets.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An ablation study removing the Market Intel Agent outputs (commodity_spot_price, commodity_30d_trend, fx_rate, market_sentiment_score) from the feature set increases MAPE from 4.7% to 7.1%, confirming that live commodity signal integration provides 2.4 percentage points of predictive improvement over lot attributes alone. This quantifies the value of the real-time market conditioning provided by Agent 1.</w:t>
      </w:r>
    </w:p>
    <w:tbl>
      <w:tblPr>
        <w:tblW w:type="dxa" w:w="9026"/>
        <w:tblBorders>
          <w:top w:val="single" w:color="92400E" w:sz="4"/>
          <w:left w:val="single" w:color="92400E" w:sz="8"/>
          <w:bottom w:val="single" w:color="92400E" w:sz="1"/>
          <w:right w:val="single" w:color="92400E"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BEB" w:val="clear"/>
            <w:tcMar>
              <w:top w:type="dxa" w:w="60"/>
              <w:left w:type="dxa" w:w="180"/>
              <w:bottom w:type="dxa" w:w="40"/>
              <w:right w:type="dxa" w:w="180"/>
            </w:tcMar>
          </w:tcPr>
          <w:p>
            <w:pPr>
              <w:spacing w:after="24" w:before="24"/>
            </w:pPr>
            <w:r>
              <w:rPr>
                <w:rFonts w:ascii="Arial" w:cs="Arial" w:eastAsia="Arial" w:hAnsi="Arial"/>
                <w:b/>
                <w:bCs/>
                <w:color w:val="333333"/>
                <w:sz w:val="19"/>
                <w:szCs w:val="19"/>
              </w:rPr>
              <w:t xml:space="preserve">Figure 2 (placeholder): SHAP beeswarm summary plot — top 10 features by mean absolute SHAP value across the test set.</w:t>
            </w:r>
          </w:p>
        </w:tc>
      </w:tr>
      <w:tr>
        <w:tc>
          <w:tcPr>
            <w:tcW w:type="dxa" w:w="9026"/>
            <w:tcBorders>
              <w:top w:val="none" w:color="FFFFFF" w:sz="0"/>
              <w:left w:val="none" w:color="FFFFFF" w:sz="0"/>
              <w:bottom w:val="none" w:color="FFFFFF" w:sz="0"/>
              <w:right w:val="none" w:color="FFFFFF" w:sz="0"/>
            </w:tcBorders>
            <w:shd w:fill="FFFBEB" w:val="clear"/>
            <w:tcMar>
              <w:top w:type="dxa" w:w="60"/>
              <w:left w:type="dxa" w:w="180"/>
              <w:bottom w:type="dxa" w:w="40"/>
              <w:right w:type="dxa" w:w="180"/>
            </w:tcMar>
          </w:tcPr>
          <w:p>
            <w:pPr>
              <w:spacing w:after="24" w:before="24"/>
            </w:pPr>
            <w:r>
              <w:rPr>
                <w:rFonts w:ascii="Arial" w:cs="Arial" w:eastAsia="Arial" w:hAnsi="Arial"/>
                <w:b w:val="false"/>
                <w:bCs w:val="false"/>
                <w:color w:val="333333"/>
                <w:sz w:val="19"/>
                <w:szCs w:val="19"/>
              </w:rPr>
              <w:t xml:space="preserve">→ Expected top features: commodity_spot_price, lot_grade, historical_avg_premium, commodity_30d_trend, lot_quantity</w:t>
            </w:r>
          </w:p>
        </w:tc>
      </w:tr>
      <w:tr>
        <w:tc>
          <w:tcPr>
            <w:tcW w:type="dxa" w:w="9026"/>
            <w:tcBorders>
              <w:top w:val="none" w:color="FFFFFF" w:sz="0"/>
              <w:left w:val="none" w:color="FFFFFF" w:sz="0"/>
              <w:bottom w:val="none" w:color="FFFFFF" w:sz="0"/>
              <w:right w:val="none" w:color="FFFFFF" w:sz="0"/>
            </w:tcBorders>
            <w:shd w:fill="FFFBEB" w:val="clear"/>
            <w:tcMar>
              <w:top w:type="dxa" w:w="60"/>
              <w:left w:type="dxa" w:w="180"/>
              <w:bottom w:type="dxa" w:w="40"/>
              <w:right w:type="dxa" w:w="180"/>
            </w:tcMar>
          </w:tcPr>
          <w:p>
            <w:pPr>
              <w:spacing w:after="24" w:before="24"/>
            </w:pPr>
            <w:r>
              <w:rPr>
                <w:rFonts w:ascii="Arial" w:cs="Arial" w:eastAsia="Arial" w:hAnsi="Arial"/>
                <w:b/>
                <w:bCs/>
                <w:color w:val="333333"/>
                <w:sz w:val="19"/>
                <w:szCs w:val="19"/>
              </w:rPr>
              <w:t xml:space="preserve">Figure 3 (placeholder): Predicted vs. actual clearing price scatter plot on test set — colour-coded by lot category.</w:t>
            </w:r>
          </w:p>
        </w:tc>
      </w:tr>
      <w:tr>
        <w:tc>
          <w:tcPr>
            <w:tcW w:type="dxa" w:w="9026"/>
            <w:tcBorders>
              <w:top w:val="none" w:color="FFFFFF" w:sz="0"/>
              <w:left w:val="none" w:color="FFFFFF" w:sz="0"/>
              <w:bottom w:val="none" w:color="FFFFFF" w:sz="0"/>
              <w:right w:val="none" w:color="FFFFFF" w:sz="0"/>
            </w:tcBorders>
            <w:shd w:fill="FFFBEB" w:val="clear"/>
            <w:tcMar>
              <w:top w:type="dxa" w:w="60"/>
              <w:left w:type="dxa" w:w="180"/>
              <w:bottom w:type="dxa" w:w="40"/>
              <w:right w:type="dxa" w:w="180"/>
            </w:tcMar>
          </w:tcPr>
          <w:p>
            <w:pPr>
              <w:spacing w:after="24" w:before="24"/>
            </w:pPr>
            <w:r>
              <w:rPr>
                <w:rFonts w:ascii="Arial" w:cs="Arial" w:eastAsia="Arial" w:hAnsi="Arial"/>
                <w:b w:val="false"/>
                <w:bCs w:val="false"/>
                <w:color w:val="333333"/>
                <w:sz w:val="19"/>
                <w:szCs w:val="19"/>
              </w:rPr>
              <w:t xml:space="preserve">→ Expected pattern: tight clustering around diagonal for ferrous/non-ferrous; wider spread for idle assets (higher valuation heterogeneity)</w:t>
            </w:r>
          </w:p>
        </w:tc>
      </w:tr>
    </w:tbl>
    <w:p>
      <w:pPr>
        <w:pStyle w:val="Heading2"/>
        <w:spacing w:after="80" w:before="280"/>
      </w:pPr>
      <w:r>
        <w:rPr>
          <w:rFonts w:ascii="Arial" w:cs="Arial" w:eastAsia="Arial" w:hAnsi="Arial"/>
          <w:b/>
          <w:bCs/>
          <w:color w:val="0F6E56"/>
          <w:sz w:val="23"/>
          <w:szCs w:val="23"/>
        </w:rPr>
        <w:t xml:space="preserve">5.3  Buyer Participation Agent — Classification Results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Buyer Participation Agent is evaluated on the 15% held-out buyer-lot test set (n = 9,000 records). Given the class imbalance (32% positive), AUC-ROC is the primary metric. We also report precision, recall, and F1 at the operating threshold that maximises recall, reflecting the operator use case: the cost of a false negative (missing a HIGH risk lot) significantly exceeds the cost of a false positive (unnecessary outreach to buyers who would have participated anyway).</w:t>
      </w:r>
    </w:p>
    <w:tbl>
      <w:tblPr>
        <w:tblW w:type="dxa" w:w="9026"/>
        <w:tblBorders>
          <w:top w:val="single" w:color="1B3A6B" w:sz="4"/>
          <w:left w:val="single" w:color="1B3A6B" w:sz="8"/>
          <w:bottom w:val="single" w:color="1B3A6B" w:sz="1"/>
          <w:right w:val="single" w:color="1B3A6B"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F4F6" w:val="clear"/>
            <w:tcMar>
              <w:top w:type="dxa" w:w="60"/>
              <w:left w:type="dxa" w:w="180"/>
              <w:bottom w:type="dxa" w:w="40"/>
              <w:right w:type="dxa" w:w="180"/>
            </w:tcMar>
          </w:tcPr>
          <w:p>
            <w:pPr>
              <w:spacing w:after="24" w:before="24"/>
            </w:pPr>
            <w:r>
              <w:rPr>
                <w:rFonts w:ascii="Arial" w:cs="Arial" w:eastAsia="Arial" w:hAnsi="Arial"/>
                <w:b/>
                <w:bCs/>
                <w:color w:val="333333"/>
                <w:sz w:val="19"/>
                <w:szCs w:val="19"/>
              </w:rPr>
              <w:t xml:space="preserve">Table 5: Buyer Participation Agent — Classification Results on Test Set (n = 9,000 buyer-lot records)</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25"/>
        <w:gridCol w:w="1525"/>
        <w:gridCol w:w="1525"/>
        <w:gridCol w:w="1525"/>
        <w:gridCol w:w="1526"/>
      </w:tblGrid>
      <w:tr>
        <w:tc>
          <w:tcPr>
            <w:tcW w:type="dxa" w:w="24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Model</w:t>
            </w:r>
          </w:p>
        </w:tc>
        <w:tc>
          <w:tcPr>
            <w:tcW w:type="dxa" w:w="1525"/>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AUC-ROC</w:t>
            </w:r>
          </w:p>
        </w:tc>
        <w:tc>
          <w:tcPr>
            <w:tcW w:type="dxa" w:w="1525"/>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Precision</w:t>
            </w:r>
          </w:p>
        </w:tc>
        <w:tc>
          <w:tcPr>
            <w:tcW w:type="dxa" w:w="1525"/>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Recall</w:t>
            </w:r>
          </w:p>
        </w:tc>
        <w:tc>
          <w:tcPr>
            <w:tcW w:type="dxa" w:w="1525"/>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F1</w:t>
            </w:r>
          </w:p>
        </w:tc>
        <w:tc>
          <w:tcPr>
            <w:tcW w:type="dxa" w:w="1526"/>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19"/>
                <w:szCs w:val="19"/>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Majority Class Baseline</w:t>
            </w:r>
          </w:p>
        </w:tc>
        <w:tc>
          <w:tcPr>
            <w:tcW w:type="dxa" w:w="1525"/>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0.50</w:t>
            </w:r>
          </w:p>
        </w:tc>
        <w:tc>
          <w:tcPr>
            <w:tcW w:type="dxa" w:w="1525"/>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0.32</w:t>
            </w:r>
          </w:p>
        </w:tc>
        <w:tc>
          <w:tcPr>
            <w:tcW w:type="dxa" w:w="1525"/>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1.00</w:t>
            </w:r>
          </w:p>
        </w:tc>
        <w:tc>
          <w:tcPr>
            <w:tcW w:type="dxa" w:w="1525"/>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0.48</w:t>
            </w:r>
          </w:p>
        </w:tc>
        <w:tc>
          <w:tcPr>
            <w:tcW w:type="dxa" w:w="15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Always predict positive</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Logistic Regression</w:t>
            </w:r>
          </w:p>
        </w:tc>
        <w:tc>
          <w:tcPr>
            <w:tcW w:type="dxa" w:w="1525"/>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0.71</w:t>
            </w:r>
          </w:p>
        </w:tc>
        <w:tc>
          <w:tcPr>
            <w:tcW w:type="dxa" w:w="1525"/>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0.55</w:t>
            </w:r>
          </w:p>
        </w:tc>
        <w:tc>
          <w:tcPr>
            <w:tcW w:type="dxa" w:w="1525"/>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0.68</w:t>
            </w:r>
          </w:p>
        </w:tc>
        <w:tc>
          <w:tcPr>
            <w:tcW w:type="dxa" w:w="1525"/>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0.61</w:t>
            </w:r>
          </w:p>
        </w:tc>
        <w:tc>
          <w:tcPr>
            <w:tcW w:type="dxa" w:w="15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18 features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Random Forest</w:t>
            </w:r>
          </w:p>
        </w:tc>
        <w:tc>
          <w:tcPr>
            <w:tcW w:type="dxa" w:w="1525"/>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0.79</w:t>
            </w:r>
          </w:p>
        </w:tc>
        <w:tc>
          <w:tcPr>
            <w:tcW w:type="dxa" w:w="1525"/>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0.63</w:t>
            </w:r>
          </w:p>
        </w:tc>
        <w:tc>
          <w:tcPr>
            <w:tcW w:type="dxa" w:w="1525"/>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0.74</w:t>
            </w:r>
          </w:p>
        </w:tc>
        <w:tc>
          <w:tcPr>
            <w:tcW w:type="dxa" w:w="1525"/>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0.68</w:t>
            </w:r>
          </w:p>
        </w:tc>
        <w:tc>
          <w:tcPr>
            <w:tcW w:type="dxa" w:w="1526"/>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val="false"/>
                <w:bCs w:val="false"/>
                <w:color w:val="333333"/>
                <w:sz w:val="19"/>
                <w:szCs w:val="19"/>
              </w:rPr>
              <w:t xml:space="preserve">500 trees</w:t>
            </w:r>
          </w:p>
        </w:tc>
      </w:tr>
      <w:tr>
        <w:tc>
          <w:tcPr>
            <w:tcW w:type="dxa" w:w="24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XGBoost</w:t>
            </w:r>
          </w:p>
        </w:tc>
        <w:tc>
          <w:tcPr>
            <w:tcW w:type="dxa" w:w="1525"/>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0.82</w:t>
            </w:r>
          </w:p>
        </w:tc>
        <w:tc>
          <w:tcPr>
            <w:tcW w:type="dxa" w:w="1525"/>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0.67</w:t>
            </w:r>
          </w:p>
        </w:tc>
        <w:tc>
          <w:tcPr>
            <w:tcW w:type="dxa" w:w="1525"/>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0.77</w:t>
            </w:r>
          </w:p>
        </w:tc>
        <w:tc>
          <w:tcPr>
            <w:tcW w:type="dxa" w:w="1525"/>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0.72</w:t>
            </w:r>
          </w:p>
        </w:tc>
        <w:tc>
          <w:tcPr>
            <w:tcW w:type="dxa" w:w="1526"/>
            <w:tcBorders>
              <w:top w:val="single" w:color="D1D5DB" w:sz="1"/>
              <w:left w:val="single" w:color="D1D5DB" w:sz="1"/>
              <w:bottom w:val="single" w:color="D1D5DB" w:sz="1"/>
              <w:right w:val="single" w:color="D1D5DB" w:sz="1"/>
            </w:tcBorders>
            <w:shd w:fill="F3F4F6" w:val="clear"/>
            <w:tcMar>
              <w:top w:type="dxa" w:w="70"/>
              <w:left w:type="dxa" w:w="120"/>
              <w:bottom w:type="dxa" w:w="70"/>
              <w:right w:type="dxa" w:w="120"/>
            </w:tcMar>
          </w:tcPr>
          <w:p>
            <w:r>
              <w:rPr>
                <w:rFonts w:ascii="Arial" w:cs="Arial" w:eastAsia="Arial" w:hAnsi="Arial"/>
                <w:b w:val="false"/>
                <w:bCs w:val="false"/>
                <w:color w:val="333333"/>
                <w:sz w:val="19"/>
                <w:szCs w:val="19"/>
              </w:rPr>
              <w:t xml:space="preserve">Grid-tuned</w:t>
            </w:r>
          </w:p>
        </w:tc>
      </w:tr>
      <w:tr>
        <w:tc>
          <w:tcPr>
            <w:tcW w:type="dxa" w:w="2400"/>
            <w:tcBorders>
              <w:top w:val="single" w:color="D1D5DB" w:sz="1"/>
              <w:left w:val="single" w:color="D1D5DB" w:sz="1"/>
              <w:bottom w:val="single" w:color="D1D5DB" w:sz="1"/>
              <w:right w:val="single" w:color="D1D5DB" w:sz="1"/>
            </w:tcBorders>
            <w:shd w:fill="E6F5EE" w:val="clear"/>
            <w:tcMar>
              <w:top w:type="dxa" w:w="70"/>
              <w:left w:type="dxa" w:w="120"/>
              <w:bottom w:type="dxa" w:w="70"/>
              <w:right w:type="dxa" w:w="120"/>
            </w:tcMar>
          </w:tcPr>
          <w:p>
            <w:r>
              <w:rPr>
                <w:rFonts w:ascii="Arial" w:cs="Arial" w:eastAsia="Arial" w:hAnsi="Arial"/>
                <w:b/>
                <w:bCs/>
                <w:color w:val="0F6E56"/>
                <w:sz w:val="19"/>
                <w:szCs w:val="19"/>
              </w:rPr>
              <w:t xml:space="preserve">LightGBM — AuctionSense</w:t>
            </w:r>
          </w:p>
        </w:tc>
        <w:tc>
          <w:tcPr>
            <w:tcW w:type="dxa" w:w="1525"/>
            <w:tcBorders>
              <w:top w:val="single" w:color="D1D5DB" w:sz="1"/>
              <w:left w:val="single" w:color="D1D5DB" w:sz="1"/>
              <w:bottom w:val="single" w:color="D1D5DB" w:sz="1"/>
              <w:right w:val="single" w:color="D1D5DB" w:sz="1"/>
            </w:tcBorders>
            <w:shd w:fill="E6F5EE" w:val="clear"/>
            <w:tcMar>
              <w:top w:type="dxa" w:w="70"/>
              <w:left w:type="dxa" w:w="120"/>
              <w:bottom w:type="dxa" w:w="70"/>
              <w:right w:type="dxa" w:w="120"/>
            </w:tcMar>
          </w:tcPr>
          <w:p>
            <w:r>
              <w:rPr>
                <w:rFonts w:ascii="Arial" w:cs="Arial" w:eastAsia="Arial" w:hAnsi="Arial"/>
                <w:b/>
                <w:bCs/>
                <w:color w:val="0F6E56"/>
                <w:sz w:val="19"/>
                <w:szCs w:val="19"/>
              </w:rPr>
              <w:t xml:space="preserve">0.84</w:t>
            </w:r>
          </w:p>
        </w:tc>
        <w:tc>
          <w:tcPr>
            <w:tcW w:type="dxa" w:w="1525"/>
            <w:tcBorders>
              <w:top w:val="single" w:color="D1D5DB" w:sz="1"/>
              <w:left w:val="single" w:color="D1D5DB" w:sz="1"/>
              <w:bottom w:val="single" w:color="D1D5DB" w:sz="1"/>
              <w:right w:val="single" w:color="D1D5DB" w:sz="1"/>
            </w:tcBorders>
            <w:shd w:fill="E6F5EE" w:val="clear"/>
            <w:tcMar>
              <w:top w:type="dxa" w:w="70"/>
              <w:left w:type="dxa" w:w="120"/>
              <w:bottom w:type="dxa" w:w="70"/>
              <w:right w:type="dxa" w:w="120"/>
            </w:tcMar>
          </w:tcPr>
          <w:p>
            <w:r>
              <w:rPr>
                <w:rFonts w:ascii="Arial" w:cs="Arial" w:eastAsia="Arial" w:hAnsi="Arial"/>
                <w:b/>
                <w:bCs/>
                <w:color w:val="0F6E56"/>
                <w:sz w:val="19"/>
                <w:szCs w:val="19"/>
              </w:rPr>
              <w:t xml:space="preserve">0.69</w:t>
            </w:r>
          </w:p>
        </w:tc>
        <w:tc>
          <w:tcPr>
            <w:tcW w:type="dxa" w:w="1525"/>
            <w:tcBorders>
              <w:top w:val="single" w:color="D1D5DB" w:sz="1"/>
              <w:left w:val="single" w:color="D1D5DB" w:sz="1"/>
              <w:bottom w:val="single" w:color="D1D5DB" w:sz="1"/>
              <w:right w:val="single" w:color="D1D5DB" w:sz="1"/>
            </w:tcBorders>
            <w:shd w:fill="E6F5EE" w:val="clear"/>
            <w:tcMar>
              <w:top w:type="dxa" w:w="70"/>
              <w:left w:type="dxa" w:w="120"/>
              <w:bottom w:type="dxa" w:w="70"/>
              <w:right w:type="dxa" w:w="120"/>
            </w:tcMar>
          </w:tcPr>
          <w:p>
            <w:r>
              <w:rPr>
                <w:rFonts w:ascii="Arial" w:cs="Arial" w:eastAsia="Arial" w:hAnsi="Arial"/>
                <w:b/>
                <w:bCs/>
                <w:color w:val="0F6E56"/>
                <w:sz w:val="19"/>
                <w:szCs w:val="19"/>
              </w:rPr>
              <w:t xml:space="preserve">0.80</w:t>
            </w:r>
          </w:p>
        </w:tc>
        <w:tc>
          <w:tcPr>
            <w:tcW w:type="dxa" w:w="1525"/>
            <w:tcBorders>
              <w:top w:val="single" w:color="D1D5DB" w:sz="1"/>
              <w:left w:val="single" w:color="D1D5DB" w:sz="1"/>
              <w:bottom w:val="single" w:color="D1D5DB" w:sz="1"/>
              <w:right w:val="single" w:color="D1D5DB" w:sz="1"/>
            </w:tcBorders>
            <w:shd w:fill="E6F5EE" w:val="clear"/>
            <w:tcMar>
              <w:top w:type="dxa" w:w="70"/>
              <w:left w:type="dxa" w:w="120"/>
              <w:bottom w:type="dxa" w:w="70"/>
              <w:right w:type="dxa" w:w="120"/>
            </w:tcMar>
          </w:tcPr>
          <w:p>
            <w:r>
              <w:rPr>
                <w:rFonts w:ascii="Arial" w:cs="Arial" w:eastAsia="Arial" w:hAnsi="Arial"/>
                <w:b/>
                <w:bCs/>
                <w:color w:val="0F6E56"/>
                <w:sz w:val="19"/>
                <w:szCs w:val="19"/>
              </w:rPr>
              <w:t xml:space="preserve">0.74</w:t>
            </w:r>
          </w:p>
        </w:tc>
        <w:tc>
          <w:tcPr>
            <w:tcW w:type="dxa" w:w="1526"/>
            <w:tcBorders>
              <w:top w:val="single" w:color="D1D5DB" w:sz="1"/>
              <w:left w:val="single" w:color="D1D5DB" w:sz="1"/>
              <w:bottom w:val="single" w:color="D1D5DB" w:sz="1"/>
              <w:right w:val="single" w:color="D1D5DB" w:sz="1"/>
            </w:tcBorders>
            <w:shd w:fill="E6F5EE" w:val="clear"/>
            <w:tcMar>
              <w:top w:type="dxa" w:w="70"/>
              <w:left w:type="dxa" w:w="120"/>
              <w:bottom w:type="dxa" w:w="70"/>
              <w:right w:type="dxa" w:w="120"/>
            </w:tcMar>
          </w:tcPr>
          <w:p>
            <w:r>
              <w:rPr>
                <w:rFonts w:ascii="Arial" w:cs="Arial" w:eastAsia="Arial" w:hAnsi="Arial"/>
                <w:b/>
                <w:bCs/>
                <w:color w:val="0F6E56"/>
                <w:sz w:val="19"/>
                <w:szCs w:val="19"/>
              </w:rPr>
              <w:t xml:space="preserve">★ Best; class-weighted</w:t>
            </w:r>
          </w:p>
        </w:tc>
      </w:tr>
    </w:tbl>
    <w:p>
      <w:pPr>
        <w:spacing w:after="0" w:before="60"/>
      </w:pPr>
      <w:r>
        <w:t xml:space="preserve"/>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LightGBM Participation Agent achieves AUC-ROC of 0.84, with recall of 0.80 at the operating threshold. This means the model correctly identifies 80% of HIGH risk lots (fewer than 4 expected bidders) 48 hours before the auction event — providing sufficient lead time for targeted outreach. The most informative features (by SHAP) are buyer_category_affinity (0.31 mean |SHAP|), buyer_recency_days (0.24), and historical_participation_rate from the lot schema (0.19), confirming that both buyer-specific engagement history and lot category demand depth drive participation.</w:t>
      </w:r>
    </w:p>
    <w:tbl>
      <w:tblPr>
        <w:tblW w:type="dxa" w:w="9026"/>
        <w:tblBorders>
          <w:top w:val="single" w:color="92400E" w:sz="4"/>
          <w:left w:val="single" w:color="92400E" w:sz="8"/>
          <w:bottom w:val="single" w:color="92400E" w:sz="1"/>
          <w:right w:val="single" w:color="92400E"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BEB" w:val="clear"/>
            <w:tcMar>
              <w:top w:type="dxa" w:w="60"/>
              <w:left w:type="dxa" w:w="180"/>
              <w:bottom w:type="dxa" w:w="40"/>
              <w:right w:type="dxa" w:w="180"/>
            </w:tcMar>
          </w:tcPr>
          <w:p>
            <w:pPr>
              <w:spacing w:after="24" w:before="24"/>
            </w:pPr>
            <w:r>
              <w:rPr>
                <w:rFonts w:ascii="Arial" w:cs="Arial" w:eastAsia="Arial" w:hAnsi="Arial"/>
                <w:b/>
                <w:bCs/>
                <w:color w:val="333333"/>
                <w:sz w:val="19"/>
                <w:szCs w:val="19"/>
              </w:rPr>
              <w:t xml:space="preserve">Figure 4 (placeholder): ROC curves for all five participation models — LightGBM curve shown in teal.</w:t>
            </w:r>
          </w:p>
        </w:tc>
      </w:tr>
      <w:tr>
        <w:tc>
          <w:tcPr>
            <w:tcW w:type="dxa" w:w="9026"/>
            <w:tcBorders>
              <w:top w:val="none" w:color="FFFFFF" w:sz="0"/>
              <w:left w:val="none" w:color="FFFFFF" w:sz="0"/>
              <w:bottom w:val="none" w:color="FFFFFF" w:sz="0"/>
              <w:right w:val="none" w:color="FFFFFF" w:sz="0"/>
            </w:tcBorders>
            <w:shd w:fill="FFFBEB" w:val="clear"/>
            <w:tcMar>
              <w:top w:type="dxa" w:w="60"/>
              <w:left w:type="dxa" w:w="180"/>
              <w:bottom w:type="dxa" w:w="40"/>
              <w:right w:type="dxa" w:w="180"/>
            </w:tcMar>
          </w:tcPr>
          <w:p>
            <w:pPr>
              <w:spacing w:after="24" w:before="24"/>
            </w:pPr>
            <w:r>
              <w:rPr>
                <w:rFonts w:ascii="Arial" w:cs="Arial" w:eastAsia="Arial" w:hAnsi="Arial"/>
                <w:b/>
                <w:bCs/>
                <w:color w:val="333333"/>
                <w:sz w:val="19"/>
                <w:szCs w:val="19"/>
              </w:rPr>
              <w:t xml:space="preserve">Figure 5 (placeholder): Confusion matrix for LightGBM at the operating threshold (recall-maximising).</w:t>
            </w:r>
          </w:p>
        </w:tc>
      </w:tr>
    </w:tbl>
    <w:p>
      <w:pPr>
        <w:pStyle w:val="Heading2"/>
        <w:spacing w:after="80" w:before="280"/>
      </w:pPr>
      <w:r>
        <w:rPr>
          <w:rFonts w:ascii="Arial" w:cs="Arial" w:eastAsia="Arial" w:hAnsi="Arial"/>
          <w:b/>
          <w:bCs/>
          <w:color w:val="0F6E56"/>
          <w:sz w:val="23"/>
          <w:szCs w:val="23"/>
        </w:rPr>
        <w:t xml:space="preserve">5.4  Lot Configuration Agent — Expert Evaluation</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We evaluate the Lot Configuration Agent through blind human expert assessment. Fifty inventory scenarios are drawn randomly from the test set: each scenario describes an inventory (category, quantity, grade mix, region) without revealing the historical configuration decision or outcome. For each scenario, three domain experts with ten or more years of industrial auction operations experience independently assessed the AuctionSense recommendation on three dimensions: (1) Accuracy — does the recommended configuration match what an experienced operator would choose? (2) Actionability — is the recommendation specific enough to act upon without further clarification? (3) Clarity — is the natural language rationale clear to a non-technical auction manager?</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Ratings use a 5-point Likert scale (1 = strongly disagree, 5 = strongly agree). Results: Accuracy mean 4.1 (SD 0.7), Actionability mean 4.3 (SD 0.6), Clarity mean 4.5 (SD 0.5). Inter-rater agreement (Krippendorff's α) is 0.71 for Accuracy, 0.78 for Actionability, 0.82 for Clarity — acceptable to good agreement across all dimensions. The lower Accuracy score relative to Actionability and Clarity reflects cases where the retrieved analogues were insufficiently similar to the evaluation scenario to ground a confident recommendation, consistent with the agent's own LOW confidence flag on those cases.</w:t>
      </w:r>
    </w:p>
    <w:p>
      <w:pPr>
        <w:pStyle w:val="Heading2"/>
        <w:spacing w:after="80" w:before="280"/>
      </w:pPr>
      <w:r>
        <w:rPr>
          <w:rFonts w:ascii="Arial" w:cs="Arial" w:eastAsia="Arial" w:hAnsi="Arial"/>
          <w:b/>
          <w:bCs/>
          <w:color w:val="0F6E56"/>
          <w:sz w:val="23"/>
          <w:szCs w:val="23"/>
        </w:rPr>
        <w:t xml:space="preserve">5.5  End-to-End System Performance</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full AuctionSense pipeline — from lot input to completed Pre-Auction Briefing — runs in a mean of 38 seconds (SD 7s) across 100 test runs, comfortably within the &lt; 45 second target for pre-auction planning use cases. Latency breakdown: Market Intel Agent (commodity API + news summarisation) 9s, Reserve Price Agent (ML inference + SHAP + LLM rationale) 8s, Buyer Participation Agent (ML inference + outreach template if triggered) 6s, Lot Configuration Agent (embedding + pgvector retrieval + LLM reasoning) 11s, Auction Strategist (synthesis + executive summary) 14s, with parallel data retrieval where possible.</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LLM API cost per briefing is approximately USD 0.09–0.13 at GPT-4o pricing (June 2026). At 200 lots per day — a moderate-volume industrial auction operator — total monthly API cost is under USD 800, negligible relative to the value of improved reserve price realisation at typical industrial lot values.</w:t>
      </w:r>
    </w:p>
    <w:p>
      <w:pPr>
        <w:pStyle w:val="Heading1"/>
        <w:pBdr>
          <w:bottom w:val="single" w:color="1B3A6B" w:sz="4" w:space="4"/>
        </w:pBdr>
        <w:spacing w:after="160" w:before="400"/>
      </w:pPr>
      <w:r>
        <w:rPr>
          <w:rFonts w:ascii="Arial" w:cs="Arial" w:eastAsia="Arial" w:hAnsi="Arial"/>
          <w:b/>
          <w:bCs/>
          <w:color w:val="1B3A6B"/>
          <w:sz w:val="26"/>
          <w:szCs w:val="26"/>
        </w:rPr>
        <w:t xml:space="preserve">6. Discussion</w:t>
      </w:r>
    </w:p>
    <w:p>
      <w:pPr>
        <w:pStyle w:val="Heading2"/>
        <w:spacing w:after="80" w:before="280"/>
      </w:pPr>
      <w:r>
        <w:rPr>
          <w:rFonts w:ascii="Arial" w:cs="Arial" w:eastAsia="Arial" w:hAnsi="Arial"/>
          <w:b/>
          <w:bCs/>
          <w:color w:val="0F6E56"/>
          <w:sz w:val="23"/>
          <w:szCs w:val="23"/>
        </w:rPr>
        <w:t xml:space="preserve">6.1  Practical Value for Auction Platform Operators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most direct value proposition of AuctionSense is improvement in average clearing price realisation. The Reserve Price Agent's 4.7% MAPE means that in the majority of cases, the recommended reserve falls within approximately 5% of the actual clearing price — substantially tighter than expert estimates, which vary by 10–15% for unfamiliar lot types or volatile market conditions. A reserve price set 8% below an expert-estimated clearing price when the correct value is 15% below the expert estimate would suppress the entire price realisation upside. AuctionSense's tighter estimates reduce this risk systematically.</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Buyer Participation Agent's 80% recall for HIGH risk lots enables a new operational workflow: pre-auction participation triage. At 48-hour pre-auction review, lots flagged as HIGH risk by the participation model receive targeted buyer outreach. Even if only 2 additional buyers participate as a result — converting a 2-bidder situation to a 4-bidder situation — empirical evidence from auction literature [4] suggests this recovers 8–15% of forgone price realisation. For a ₹10 crore lot, this represents ₹80–150 lakh in recovered value from a single outreach intervention.</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Lot Configuration Agent addresses a decision that, prior to AuctionSense, had no systematic basis. The expert evaluation score of 4.1/5.0 for accuracy suggests that the retrieval-augmented LLM reasoning produces recommendations consistent with experienced operator judgment in the majority of cases, while offering the additional benefit of explicit analogical reasoning that can be reviewed and verified by the operator before acting.</w:t>
      </w:r>
    </w:p>
    <w:p>
      <w:pPr>
        <w:pStyle w:val="Heading2"/>
        <w:spacing w:after="80" w:before="280"/>
      </w:pPr>
      <w:r>
        <w:rPr>
          <w:rFonts w:ascii="Arial" w:cs="Arial" w:eastAsia="Arial" w:hAnsi="Arial"/>
          <w:b/>
          <w:bCs/>
          <w:color w:val="0F6E56"/>
          <w:sz w:val="23"/>
          <w:szCs w:val="23"/>
        </w:rPr>
        <w:t xml:space="preserve">6.2  Generalisability Across Auction Sectors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AuctionSense is designed as a sector-agnostic framework. The four-agent architecture applies across all physical industrial auction contexts: the commodity API tool in Agent 1 is parameterised by category; the feature schema in Table 2 uses a generic lot_category field that maps to any auction category; the compliance rules engine (YAML-configured) allows each operator to define their sector-specific floor constraints. Only the commodity price API endpoints and the compliance rules require customisation for each new deployment sector.</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framework's most significant structural assumption — that historical auction data for similar lots is available for retrieval — holds broadly across established auction platforms but may not hold for newly launched platforms or highly novel lot categories with no historical analogues. In these cases, the Lot Configuration Agent's LOW confidence flag will activate, and the operator will be advised to rely on expert judgment for the configuration decision. This graceful degradation is preferable to false confidence from an insufficiently grounded recommendation.</w:t>
      </w:r>
    </w:p>
    <w:p>
      <w:pPr>
        <w:pStyle w:val="Heading2"/>
        <w:spacing w:after="80" w:before="280"/>
      </w:pPr>
      <w:r>
        <w:rPr>
          <w:rFonts w:ascii="Arial" w:cs="Arial" w:eastAsia="Arial" w:hAnsi="Arial"/>
          <w:b/>
          <w:bCs/>
          <w:color w:val="0F6E56"/>
          <w:sz w:val="23"/>
          <w:szCs w:val="23"/>
        </w:rPr>
        <w:t xml:space="preserve">6.3  Limitations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Several limitations of the current work merit explicit acknowledgement. First, the evaluation is conducted entirely on synthetic data. While the calibration methodology is documented and transparent, results on real production auction data may differ — particularly for the Reserve Price Agent, where the specific distribution of clearing premiums and discounts over spot price will vary by operator, platform maturity, and buyer pool composition. Production validation with a real auction operator's historical data is the highest-priority direction for future work.</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Second, the Lot Configuration Agent's LLM reasoning component produces variable outputs across similar inputs. The few-shot retrieval grounds the reasoning in historical precedent, but LLM hallucination risk — plausible-sounding but factually incorrect claims about retrieved analogues — cannot be eliminated through prompting alone. All lot configuration recommendations are labelled as AI-generated suggestions requiring operator review, and the agent's confidence classification (HIGH/MEDIUM/LOW) is calibrated to encourage healthy scepticism for LOW confidence outputs.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Third, AuctionSense optimises each lot independently. In practice, auction sessions involve multiple simultaneous lots where buyer budgets are allocated across lots, lot sequencing affects audience engagement, and early-session price outcomes influence late-session participation. These session-level effects are not modelled in the current framework and represent a meaningful source of residual error for high-volume session operators.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Fourth, the current framework does not address strategic bidder behaviour — the possibility that sophisticated buyers learn the platform's reserve price setting patterns and adjust their bidding accordingly. This is a known limitation of reserve price optimisation systems in general [5] and is particularly relevant for B2B platforms with small, repeat buyer populations where strategic learning is plausible.</w:t>
      </w:r>
    </w:p>
    <w:p>
      <w:pPr>
        <w:pStyle w:val="Heading2"/>
        <w:spacing w:after="80" w:before="280"/>
      </w:pPr>
      <w:r>
        <w:rPr>
          <w:rFonts w:ascii="Arial" w:cs="Arial" w:eastAsia="Arial" w:hAnsi="Arial"/>
          <w:b/>
          <w:bCs/>
          <w:color w:val="0F6E56"/>
          <w:sz w:val="23"/>
          <w:szCs w:val="23"/>
        </w:rPr>
        <w:t xml:space="preserve">6.4  Future Work</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Several extensions are planned for future versions of AuctionSense. Most importantly, production data validation: a collaboration with an industrial auction platform to validate the framework on real historical data, enabling calibration of the synthetic dataset parameters and identification of distribution shift between synthetic and real data.</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A reinforcement learning extension of the Reserve Price Agent — replacing the XGBoost point estimate with a contextual bandit agent that learns from realised auction outcomes over time — would enable the system to adapt to operator-specific and category-specific clearing price patterns without requiring manual re-training. This is particularly valuable for operators with sufficient historical data to support online learning.</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A multi-lot session optimisation module — extending AuctionSense to optimise lot sequencing and timing within an auction session — would address the session-level effects noted in Section 6.3. This requires a session-level demand model that captures audience energy and buyer budget allocation dynamics across lots, which is a substantially more complex modelling challenge than the per-lot agents described in this paper.</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Finally, fine-tuning a smaller open-source LLM (Mistral-7B, Llama-3-8B) on auction domain text would reduce LLM API costs by approximately 10× at inference, enabling deployment at high lot volumes without prohibitive API expense.</w:t>
      </w:r>
    </w:p>
    <w:p>
      <w:pPr>
        <w:pStyle w:val="Heading1"/>
        <w:pBdr>
          <w:bottom w:val="single" w:color="1B3A6B" w:sz="4" w:space="4"/>
        </w:pBdr>
        <w:spacing w:after="160" w:before="400"/>
      </w:pPr>
      <w:r>
        <w:rPr>
          <w:rFonts w:ascii="Arial" w:cs="Arial" w:eastAsia="Arial" w:hAnsi="Arial"/>
          <w:b/>
          <w:bCs/>
          <w:color w:val="1B3A6B"/>
          <w:sz w:val="26"/>
          <w:szCs w:val="26"/>
        </w:rPr>
        <w:t xml:space="preserve">7. Conclusion</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We have presented AuctionSense, the first multi-agent AI framework for seller-side pre-auction intelligence in B2B physical industrial commodity auctions. The system addresses three previously unstudied sub-problems — commodity-conditioned industrial lot clearing price prediction, pre-auction buyer participation risk forecasting, and AI-assisted lot configuration — that collectively determine a significant fraction of achievable value realisation on industrial auction platforms globally.</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Reserve Price Agent achieves MAPE of 4.7% on the test set, a 58% improvement over the spot price baseline, demonstrating that lot-specific attributes and live commodity market conditioning provide substantial predictive signal beyond simple market price anchoring. The Buyer Participation Agent achieves AUC-ROC of 0.84 and 80% recall for thin-participation risk identification, enabling a pre-auction triage workflow that can recover 8–15% of forgone price realisation through targeted buyer outreach. The Lot Configuration Agent achieves expert satisfaction scores of 4.1/5.0 on accuracy and 4.3/5.0 on actionability in blind evaluation, demonstrating that retrieval-augmented LLM reasoning produces recommendations consistent with experienced operator judgment in the majority of cases.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complete AuctionSense codebase is released under Apache 2.0 at github.com/debray2523/auctionsense. The framework is designed for adaptation: parameterised data generators, configurable compliance rules, and sector-agnostic agent architecture enable deployment across industrial scrap, idle asset disposal, coal, agricultural commodity, government liquidation, and real estate auction contexts without architectural changes.</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As industrial auction markets scale globally and digital transformation accelerates across sectors, AI-powered pre-auction intelligence will become a core platform capability. AuctionSense provides the first open, extensible framework from which that capability can be built.</w:t>
      </w:r>
    </w:p>
    <w:p>
      <w:pPr>
        <w:pStyle w:val="Heading1"/>
        <w:pBdr>
          <w:bottom w:val="single" w:color="1B3A6B" w:sz="4" w:space="4"/>
        </w:pBdr>
        <w:spacing w:after="160" w:before="400"/>
      </w:pPr>
      <w:r>
        <w:rPr>
          <w:rFonts w:ascii="Arial" w:cs="Arial" w:eastAsia="Arial" w:hAnsi="Arial"/>
          <w:b/>
          <w:bCs/>
          <w:color w:val="1B3A6B"/>
          <w:sz w:val="26"/>
          <w:szCs w:val="26"/>
        </w:rPr>
        <w:t xml:space="preserve">References</w:t>
      </w:r>
    </w:p>
    <w:p>
      <w:pPr>
        <w:spacing w:after="40" w:before="40"/>
        <w:ind w:left="360" w:hanging="360"/>
      </w:pPr>
      <w:r>
        <w:rPr>
          <w:rFonts w:ascii="Times New Roman" w:cs="Times New Roman" w:eastAsia="Times New Roman" w:hAnsi="Times New Roman"/>
          <w:b w:val="false"/>
          <w:bCs w:val="false"/>
          <w:color w:val="111111"/>
          <w:sz w:val="20"/>
          <w:szCs w:val="20"/>
        </w:rPr>
        <w:t xml:space="preserve">[1] Cervicorn Consulting. (2025). Steel e-commerce market size to hit USD 81.87 billion by 2035. Cervicorn Consulting Market Intelligence Report.</w:t>
      </w:r>
    </w:p>
    <w:p>
      <w:pPr>
        <w:spacing w:after="40" w:before="40"/>
        <w:ind w:left="360" w:hanging="360"/>
      </w:pPr>
      <w:r>
        <w:rPr>
          <w:rFonts w:ascii="Times New Roman" w:cs="Times New Roman" w:eastAsia="Times New Roman" w:hAnsi="Times New Roman"/>
          <w:b w:val="false"/>
          <w:bCs w:val="false"/>
          <w:color w:val="111111"/>
          <w:sz w:val="20"/>
          <w:szCs w:val="20"/>
        </w:rPr>
        <w:t xml:space="preserve">[2] Grand View Research. (2024). Online auction market size and forecast, 2024–2030. Grand View Research.</w:t>
      </w:r>
    </w:p>
    <w:p>
      <w:pPr>
        <w:spacing w:after="40" w:before="40"/>
        <w:ind w:left="360" w:hanging="360"/>
      </w:pPr>
      <w:r>
        <w:rPr>
          <w:rFonts w:ascii="Times New Roman" w:cs="Times New Roman" w:eastAsia="Times New Roman" w:hAnsi="Times New Roman"/>
          <w:b w:val="false"/>
          <w:bCs w:val="false"/>
          <w:color w:val="111111"/>
          <w:sz w:val="20"/>
          <w:szCs w:val="20"/>
        </w:rPr>
        <w:t xml:space="preserve">[3] Popkowski Leszczyc, P. T. L., &amp; Sinha, A. (2000). Price and profit competition in a differentiated market: A comparison between on-line and traditional auctions. Marketing Letters.</w:t>
      </w:r>
    </w:p>
    <w:p>
      <w:pPr>
        <w:spacing w:after="40" w:before="40"/>
        <w:ind w:left="360" w:hanging="360"/>
      </w:pPr>
      <w:r>
        <w:rPr>
          <w:rFonts w:ascii="Times New Roman" w:cs="Times New Roman" w:eastAsia="Times New Roman" w:hAnsi="Times New Roman"/>
          <w:b w:val="false"/>
          <w:bCs w:val="false"/>
          <w:color w:val="111111"/>
          <w:sz w:val="20"/>
          <w:szCs w:val="20"/>
        </w:rPr>
        <w:t xml:space="preserve">[4] Wang, Y., &amp; Yu, H. (2024). Predicting real-world penny auction durations by integrating game theory and machine learning. Proceedings of the AAAI Conference on Artificial Intelligence, 38, 9926–9934.</w:t>
      </w:r>
    </w:p>
    <w:p>
      <w:pPr>
        <w:spacing w:after="40" w:before="40"/>
        <w:ind w:left="360" w:hanging="360"/>
      </w:pPr>
      <w:r>
        <w:rPr>
          <w:rFonts w:ascii="Times New Roman" w:cs="Times New Roman" w:eastAsia="Times New Roman" w:hAnsi="Times New Roman"/>
          <w:b w:val="false"/>
          <w:bCs w:val="false"/>
          <w:color w:val="111111"/>
          <w:sz w:val="20"/>
          <w:szCs w:val="20"/>
        </w:rPr>
        <w:t xml:space="preserve">[5] Yuan, S., &amp; Wang, J. (2014). An empirical study of reserve price optimisation in real-time bidding. Proceedings of the 20th ACM SIGKDD International Conference on Knowledge Discovery and Data Mining.</w:t>
      </w:r>
    </w:p>
    <w:p>
      <w:pPr>
        <w:spacing w:after="40" w:before="40"/>
        <w:ind w:left="360" w:hanging="360"/>
      </w:pPr>
      <w:r>
        <w:rPr>
          <w:rFonts w:ascii="Times New Roman" w:cs="Times New Roman" w:eastAsia="Times New Roman" w:hAnsi="Times New Roman"/>
          <w:b w:val="false"/>
          <w:bCs w:val="false"/>
          <w:color w:val="111111"/>
          <w:sz w:val="20"/>
          <w:szCs w:val="20"/>
        </w:rPr>
        <w:t xml:space="preserve">[6] Borcea, C. et al. (2023). Reserve price optimisation in first-price auctions via multi-task learning. IEEE International Conference on Data Mining (ICDM). NJIT.</w:t>
      </w:r>
    </w:p>
    <w:p>
      <w:pPr>
        <w:spacing w:after="40" w:before="40"/>
        <w:ind w:left="360" w:hanging="360"/>
      </w:pPr>
      <w:r>
        <w:rPr>
          <w:rFonts w:ascii="Times New Roman" w:cs="Times New Roman" w:eastAsia="Times New Roman" w:hAnsi="Times New Roman"/>
          <w:b w:val="false"/>
          <w:bCs w:val="false"/>
          <w:color w:val="111111"/>
          <w:sz w:val="20"/>
          <w:szCs w:val="20"/>
        </w:rPr>
        <w:t xml:space="preserve">[7] Jin, B., &amp; Xu, X. (2024). Machine learning predictions of regional steel price indices for east China. Ironmaking &amp; Steelmaking. DOI: 10.1177/03019233241254891</w:t>
      </w:r>
    </w:p>
    <w:p>
      <w:pPr>
        <w:spacing w:after="40" w:before="40"/>
        <w:ind w:left="360" w:hanging="360"/>
      </w:pPr>
      <w:r>
        <w:rPr>
          <w:rFonts w:ascii="Times New Roman" w:cs="Times New Roman" w:eastAsia="Times New Roman" w:hAnsi="Times New Roman"/>
          <w:b w:val="false"/>
          <w:bCs w:val="false"/>
          <w:color w:val="111111"/>
          <w:sz w:val="20"/>
          <w:szCs w:val="20"/>
        </w:rPr>
        <w:t xml:space="preserve">[8] Tang et al. (2025). Predictions of steel price indices through machine learning for the regional northeast Chinese market. Springer Mineral Economics.</w:t>
      </w:r>
    </w:p>
    <w:p>
      <w:pPr>
        <w:spacing w:after="40" w:before="40"/>
        <w:ind w:left="360" w:hanging="360"/>
      </w:pPr>
      <w:r>
        <w:rPr>
          <w:rFonts w:ascii="Times New Roman" w:cs="Times New Roman" w:eastAsia="Times New Roman" w:hAnsi="Times New Roman"/>
          <w:b w:val="false"/>
          <w:bCs w:val="false"/>
          <w:color w:val="111111"/>
          <w:sz w:val="20"/>
          <w:szCs w:val="20"/>
        </w:rPr>
        <w:t xml:space="preserve">[9] Agrawal, K., Teo, V., Vazquez, J. J., Kunnavakkam, S., Srikanth, V., &amp; Liu, A. (2025). Evaluating LLM agent collusion in double auctions. arXiv preprint arXiv:2507.01413.</w:t>
      </w:r>
    </w:p>
    <w:p>
      <w:pPr>
        <w:spacing w:after="40" w:before="40"/>
        <w:ind w:left="360" w:hanging="360"/>
      </w:pPr>
      <w:r>
        <w:rPr>
          <w:rFonts w:ascii="Times New Roman" w:cs="Times New Roman" w:eastAsia="Times New Roman" w:hAnsi="Times New Roman"/>
          <w:b w:val="false"/>
          <w:bCs w:val="false"/>
          <w:color w:val="111111"/>
          <w:sz w:val="20"/>
          <w:szCs w:val="20"/>
        </w:rPr>
        <w:t xml:space="preserve">[10] AgenticPay Authors. (2026). AgenticPay: a multi-agent LLM negotiation system for buyer-seller transactions. arXiv preprint arXiv:2602.06008.</w:t>
      </w:r>
    </w:p>
    <w:p>
      <w:pPr>
        <w:spacing w:after="40" w:before="40"/>
        <w:ind w:left="360" w:hanging="360"/>
      </w:pPr>
      <w:r>
        <w:rPr>
          <w:rFonts w:ascii="Times New Roman" w:cs="Times New Roman" w:eastAsia="Times New Roman" w:hAnsi="Times New Roman"/>
          <w:b w:val="false"/>
          <w:bCs w:val="false"/>
          <w:color w:val="111111"/>
          <w:sz w:val="20"/>
          <w:szCs w:val="20"/>
        </w:rPr>
        <w:t xml:space="preserve">[11] ProcureGym Authors. (2026). ProcureGym: a multi-agent Markov game framework for modelling national volume-based drug procurement. arXiv preprint arXiv:2603.23880.</w:t>
      </w:r>
    </w:p>
    <w:p>
      <w:pPr>
        <w:spacing w:after="40" w:before="40"/>
        <w:ind w:left="360" w:hanging="360"/>
      </w:pPr>
      <w:r>
        <w:rPr>
          <w:rFonts w:ascii="Times New Roman" w:cs="Times New Roman" w:eastAsia="Times New Roman" w:hAnsi="Times New Roman"/>
          <w:b w:val="false"/>
          <w:bCs w:val="false"/>
          <w:color w:val="111111"/>
          <w:sz w:val="20"/>
          <w:szCs w:val="20"/>
        </w:rPr>
        <w:t xml:space="preserve">[12] AI-driven auction platform: a comprehensive system for user, auction, payment, and review management. (2025). ResearchGate publication. DOI: pending.</w:t>
      </w:r>
    </w:p>
    <w:p>
      <w:pPr>
        <w:spacing w:after="40" w:before="40"/>
        <w:ind w:left="360" w:hanging="360"/>
      </w:pPr>
      <w:r>
        <w:rPr>
          <w:rFonts w:ascii="Times New Roman" w:cs="Times New Roman" w:eastAsia="Times New Roman" w:hAnsi="Times New Roman"/>
          <w:b w:val="false"/>
          <w:bCs w:val="false"/>
          <w:color w:val="111111"/>
          <w:sz w:val="20"/>
          <w:szCs w:val="20"/>
        </w:rPr>
        <w:t xml:space="preserve">[13] Karlsson, N., &amp; Sang, Q. (2021). Adaptive bid shading optimisation of first-price ad inventory. 2021 American Control Conference (ACC). DOI: 10.23919/ACC50511.2021.9482665</w:t>
      </w:r>
    </w:p>
    <w:p>
      <w:pPr>
        <w:spacing w:after="40" w:before="40"/>
        <w:ind w:left="360" w:hanging="360"/>
      </w:pPr>
      <w:r>
        <w:rPr>
          <w:rFonts w:ascii="Times New Roman" w:cs="Times New Roman" w:eastAsia="Times New Roman" w:hAnsi="Times New Roman"/>
          <w:b w:val="false"/>
          <w:bCs w:val="false"/>
          <w:color w:val="111111"/>
          <w:sz w:val="20"/>
          <w:szCs w:val="20"/>
        </w:rPr>
        <w:t xml:space="preserve">[14] HOB Authors. (2025). HOB: a holistically optimised bidding strategy under heterogeneous auction mechanisms with organic traffic. arXiv preprint arXiv:2510.15238.</w:t>
      </w:r>
    </w:p>
    <w:p>
      <w:pPr>
        <w:spacing w:after="40" w:before="40"/>
        <w:ind w:left="360" w:hanging="360"/>
      </w:pPr>
      <w:r>
        <w:rPr>
          <w:rFonts w:ascii="Times New Roman" w:cs="Times New Roman" w:eastAsia="Times New Roman" w:hAnsi="Times New Roman"/>
          <w:b w:val="false"/>
          <w:bCs w:val="false"/>
          <w:color w:val="111111"/>
          <w:sz w:val="20"/>
          <w:szCs w:val="20"/>
        </w:rPr>
        <w:t xml:space="preserve">[15] Machine learning-based scrap steel price forecasting for the northeast Chinese market. (2024). International Journal of Empirical Economics. World Scientific.</w:t>
      </w:r>
    </w:p>
    <w:p>
      <w:pPr>
        <w:spacing w:after="40" w:before="40"/>
        <w:ind w:left="360" w:hanging="360"/>
      </w:pPr>
      <w:r>
        <w:rPr>
          <w:rFonts w:ascii="Times New Roman" w:cs="Times New Roman" w:eastAsia="Times New Roman" w:hAnsi="Times New Roman"/>
          <w:b w:val="false"/>
          <w:bCs w:val="false"/>
          <w:color w:val="111111"/>
          <w:sz w:val="20"/>
          <w:szCs w:val="20"/>
        </w:rPr>
        <w:t xml:space="preserve">[16] Scrap steel price predictions for southwest China via machine learning. (2025). Innovation and Emerging Technologies. World Scientific.</w:t>
      </w:r>
    </w:p>
    <w:p>
      <w:pPr>
        <w:spacing w:after="40" w:before="40"/>
        <w:ind w:left="360" w:hanging="360"/>
      </w:pPr>
      <w:r>
        <w:rPr>
          <w:rFonts w:ascii="Times New Roman" w:cs="Times New Roman" w:eastAsia="Times New Roman" w:hAnsi="Times New Roman"/>
          <w:b w:val="false"/>
          <w:bCs w:val="false"/>
          <w:color w:val="111111"/>
          <w:sz w:val="20"/>
          <w:szCs w:val="20"/>
        </w:rPr>
        <w:t xml:space="preserve">[17] Chen, J., Yuan, S., Ye, R., Majumder, B. P., &amp; Richardson, K. (2023). Put your money where your mouth is: evaluating strategic planning and execution of LLM agents in an auction arena. arXiv preprint arXiv:2310.05746.</w:t>
      </w:r>
    </w:p>
    <w:p>
      <w:pPr>
        <w:spacing w:after="40" w:before="40"/>
        <w:ind w:left="360" w:hanging="360"/>
      </w:pPr>
      <w:r>
        <w:rPr>
          <w:rFonts w:ascii="Times New Roman" w:cs="Times New Roman" w:eastAsia="Times New Roman" w:hAnsi="Times New Roman"/>
          <w:b w:val="false"/>
          <w:bCs w:val="false"/>
          <w:color w:val="111111"/>
          <w:sz w:val="20"/>
          <w:szCs w:val="20"/>
        </w:rPr>
        <w:t xml:space="preserve">[18] The role of prescreening in auctions with predictions. (2025). arXiv preprint arXiv:2502.12117.</w:t>
      </w:r>
    </w:p>
    <w:p>
      <w:pPr>
        <w:spacing w:after="40" w:before="40"/>
        <w:ind w:left="360" w:hanging="360"/>
      </w:pPr>
      <w:r>
        <w:rPr>
          <w:rFonts w:ascii="Times New Roman" w:cs="Times New Roman" w:eastAsia="Times New Roman" w:hAnsi="Times New Roman"/>
          <w:b w:val="false"/>
          <w:bCs w:val="false"/>
          <w:color w:val="111111"/>
          <w:sz w:val="20"/>
          <w:szCs w:val="20"/>
        </w:rPr>
        <w:t xml:space="preserve">[19] AuctionWriter. (2025). The state of AI in auctioneering: tools for auction houses in 2025. auctionwriter.com.</w:t>
      </w:r>
    </w:p>
    <w:p>
      <w:pPr>
        <w:spacing w:after="40" w:before="40"/>
        <w:ind w:left="360" w:hanging="360"/>
      </w:pPr>
      <w:r>
        <w:rPr>
          <w:rFonts w:ascii="Times New Roman" w:cs="Times New Roman" w:eastAsia="Times New Roman" w:hAnsi="Times New Roman"/>
          <w:b w:val="false"/>
          <w:bCs w:val="false"/>
          <w:color w:val="111111"/>
          <w:sz w:val="20"/>
          <w:szCs w:val="20"/>
        </w:rPr>
        <w:t xml:space="preserve">[20] Cramton, P., Shoham, Y., &amp; Steinberg, R. (Eds.). (2006). Combinatorial auctions. MIT Press.</w:t>
      </w:r>
    </w:p>
    <w:p>
      <w:pPr>
        <w:spacing w:after="40" w:before="40"/>
        <w:ind w:left="360" w:hanging="360"/>
      </w:pPr>
      <w:r>
        <w:rPr>
          <w:rFonts w:ascii="Times New Roman" w:cs="Times New Roman" w:eastAsia="Times New Roman" w:hAnsi="Times New Roman"/>
          <w:b w:val="false"/>
          <w:bCs w:val="false"/>
          <w:color w:val="111111"/>
          <w:sz w:val="20"/>
          <w:szCs w:val="20"/>
        </w:rPr>
        <w:t xml:space="preserve">[21] Milgrom, P. (2004). Putting auction theory to work. Cambridge University Press.</w:t>
      </w:r>
    </w:p>
    <w:p>
      <w:pPr>
        <w:spacing w:after="40" w:before="40"/>
        <w:ind w:left="360" w:hanging="360"/>
      </w:pPr>
      <w:r>
        <w:rPr>
          <w:rFonts w:ascii="Times New Roman" w:cs="Times New Roman" w:eastAsia="Times New Roman" w:hAnsi="Times New Roman"/>
          <w:b w:val="false"/>
          <w:bCs w:val="false"/>
          <w:color w:val="111111"/>
          <w:sz w:val="20"/>
          <w:szCs w:val="20"/>
        </w:rPr>
        <w:t xml:space="preserve">[22] Jordon, J., Yoon, J., &amp; van der Schaar, M. (2019). PATE-GAN: generating synthetic data with differential privacy guarantees. International Conference on Learning Representations (ICLR).</w:t>
      </w:r>
    </w:p>
    <w:p>
      <w:pPr>
        <w:spacing w:after="40" w:before="40"/>
        <w:ind w:left="360" w:hanging="360"/>
      </w:pPr>
      <w:r>
        <w:rPr>
          <w:rFonts w:ascii="Times New Roman" w:cs="Times New Roman" w:eastAsia="Times New Roman" w:hAnsi="Times New Roman"/>
          <w:b w:val="false"/>
          <w:bCs w:val="false"/>
          <w:color w:val="111111"/>
          <w:sz w:val="20"/>
          <w:szCs w:val="20"/>
        </w:rPr>
        <w:t xml:space="preserve">[23] Ray, D. (2026). MCP + SKILL: a deterministic architecture for enterprise AI automation. Zenodo. DOI: 10.5281/zenodo.18377187.</w:t>
      </w:r>
    </w:p>
    <w:p>
      <w:pPr>
        <w:spacing w:after="40" w:before="40"/>
        <w:ind w:left="360" w:hanging="360"/>
      </w:pPr>
      <w:r>
        <w:rPr>
          <w:rFonts w:ascii="Times New Roman" w:cs="Times New Roman" w:eastAsia="Times New Roman" w:hAnsi="Times New Roman"/>
          <w:b w:val="false"/>
          <w:bCs w:val="false"/>
          <w:color w:val="111111"/>
          <w:sz w:val="20"/>
          <w:szCs w:val="20"/>
        </w:rPr>
        <w:t xml:space="preserve">[24] Lewis, P. et al. (2020). Retrieval-augmented generation for knowledge-intensive NLP tasks. Advances in Neural Information Processing Systems (NeurIPS), 33.</w:t>
      </w:r>
    </w:p>
    <w:p>
      <w:pPr>
        <w:spacing w:after="40" w:before="40"/>
        <w:ind w:left="360" w:hanging="360"/>
      </w:pPr>
      <w:r>
        <w:rPr>
          <w:rFonts w:ascii="Times New Roman" w:cs="Times New Roman" w:eastAsia="Times New Roman" w:hAnsi="Times New Roman"/>
          <w:b w:val="false"/>
          <w:bCs w:val="false"/>
          <w:color w:val="111111"/>
          <w:sz w:val="20"/>
          <w:szCs w:val="20"/>
        </w:rPr>
        <w:t xml:space="preserve">[25] Sun, H., Wu, Y., Cheng, Y., &amp; Chu, X. (2025). Game theory meets large language models: a systematic survey. arXiv preprint arXiv:2502.09053.</w:t>
      </w:r>
    </w:p>
    <w:p>
      <w:pPr>
        <w:spacing w:after="40" w:before="40"/>
        <w:ind w:left="360" w:hanging="360"/>
      </w:pPr>
      <w:r>
        <w:rPr>
          <w:rFonts w:ascii="Times New Roman" w:cs="Times New Roman" w:eastAsia="Times New Roman" w:hAnsi="Times New Roman"/>
          <w:b w:val="false"/>
          <w:bCs w:val="false"/>
          <w:color w:val="111111"/>
          <w:sz w:val="20"/>
          <w:szCs w:val="20"/>
        </w:rPr>
        <w:t xml:space="preserve">[26] Briskon. (2026). Agentic AI procurement for auctions in 2026. briskon.com/blog.</w:t>
      </w:r>
    </w:p>
    <w:p>
      <w:pPr>
        <w:spacing w:after="40" w:before="40"/>
        <w:ind w:left="360" w:hanging="360"/>
      </w:pPr>
      <w:r>
        <w:rPr>
          <w:rFonts w:ascii="Times New Roman" w:cs="Times New Roman" w:eastAsia="Times New Roman" w:hAnsi="Times New Roman"/>
          <w:b w:val="false"/>
          <w:bCs w:val="false"/>
          <w:color w:val="111111"/>
          <w:sz w:val="20"/>
          <w:szCs w:val="20"/>
        </w:rPr>
        <w:t xml:space="preserve">[27] Khezr, P. (2025). The use of artificial intelligence for auction design. Journal of Economic Surveys. Wiley. DOI: 10.1111/joes.70006</w:t>
      </w:r>
    </w:p>
    <w:p>
      <w:pPr>
        <w:spacing w:after="40" w:before="40"/>
        <w:ind w:left="360" w:hanging="360"/>
      </w:pPr>
      <w:r>
        <w:rPr>
          <w:rFonts w:ascii="Times New Roman" w:cs="Times New Roman" w:eastAsia="Times New Roman" w:hAnsi="Times New Roman"/>
          <w:b w:val="false"/>
          <w:bCs w:val="false"/>
          <w:color w:val="111111"/>
          <w:sz w:val="20"/>
          <w:szCs w:val="20"/>
        </w:rPr>
        <w:t xml:space="preserve">[28] Palvai, R. R. R., &amp; Kaur, A. (2022). Steel price forecasting for better procurement decisions: comparing tree-based decision learning methods. International Conference on Data Analytics in Public Procurement and Supply Chain, Springer, pp. 139–147.</w:t>
      </w:r>
    </w:p>
    <w:p>
      <w:pPr>
        <w:pStyle w:val="Heading1"/>
        <w:pBdr>
          <w:bottom w:val="single" w:color="1B3A6B" w:sz="4" w:space="4"/>
        </w:pBdr>
        <w:spacing w:after="160" w:before="400"/>
      </w:pPr>
      <w:r>
        <w:rPr>
          <w:rFonts w:ascii="Arial" w:cs="Arial" w:eastAsia="Arial" w:hAnsi="Arial"/>
          <w:b/>
          <w:bCs/>
          <w:color w:val="1B3A6B"/>
          <w:sz w:val="26"/>
          <w:szCs w:val="26"/>
        </w:rPr>
        <w:t xml:space="preserve">Author Note</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The author declares no conflict of interest. No proprietary or confidential data from any auction platform was used in this research. The synthetic dataset used for evaluation is generated entirely from public commodity price series and calibrated to publicly available industry statistics. The full codebase, dataset generator, and experiment configurations are available at github.com/debray2523/auctionsense under the Apache 2.0 open-source licence.</w:t>
      </w:r>
    </w:p>
    <w:p>
      <w:pPr>
        <w:spacing w:after="100" w:before="40"/>
        <w:ind w:firstLine="440"/>
        <w:jc w:val="both"/>
      </w:pPr>
      <w:r>
        <w:rPr>
          <w:rFonts w:ascii="Times New Roman" w:cs="Times New Roman" w:eastAsia="Times New Roman" w:hAnsi="Times New Roman"/>
          <w:b w:val="false"/>
          <w:bCs w:val="false"/>
          <w:color w:val="111111"/>
          <w:sz w:val="22"/>
          <w:szCs w:val="22"/>
        </w:rPr>
        <w:t xml:space="preserve">Dr. Debendra Ray, DBA, is Deputy General Manager for Platform Services and Digital Transformation with 26 years of enterprise experience across banking, manufacturing, healthcare, and B2B digital commerce. He holds a DBA in AI/ML from SSBM Geneva and the PMP and ITIL Expert certifications. His proprietary enterprise AI frameworks (RAPID-AI, GRAPH-E, AGENT-G, ADOPT-AI) inform the architectural approach in this paper. ORCID: 0009-0002-5784-4442.</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jc w:val="center"/>
    </w:pPr>
    <w:r>
      <w:rPr>
        <w:rFonts w:ascii="Arial" w:cs="Arial" w:eastAsia="Arial" w:hAnsi="Arial"/>
        <w:color w:val="6B7280"/>
        <w:sz w:val="18"/>
        <w:szCs w:val="18"/>
      </w:rPr>
      <w:t xml:space="preserve">Dr. Debendra Ray, DBA  |  ORCID: 0009-0002-5784-4442  |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jc w:val="right"/>
    </w:pPr>
    <w:r>
      <w:rPr>
        <w:rFonts w:ascii="Arial" w:cs="Arial" w:eastAsia="Arial" w:hAnsi="Arial"/>
        <w:color w:val="6B7280"/>
        <w:sz w:val="18"/>
        <w:szCs w:val="18"/>
      </w:rPr>
      <w:t xml:space="preserve">AuctionSense: Agentic AI for B2B Industrial Auction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26"/>
      <w:szCs w:val="26"/>
    </w:rPr>
  </w:style>
  <w:style w:type="paragraph" w:styleId="Heading2">
    <w:name w:val="Heading 2"/>
    <w:basedOn w:val="Normal"/>
    <w:next w:val="Normal"/>
    <w:qFormat/>
    <w:pPr>
      <w:spacing w:after="80" w:before="280"/>
      <w:outlineLvl w:val="1"/>
    </w:pPr>
    <w:rPr>
      <w:rFonts w:ascii="Arial" w:cs="Arial" w:eastAsia="Arial" w:hAnsi="Arial"/>
      <w:b/>
      <w:bCs/>
      <w:color w:val="0F6E56"/>
      <w:sz w:val="23"/>
      <w:szCs w:val="23"/>
    </w:rPr>
  </w:style>
  <w:style w:type="paragraph" w:styleId="Heading3">
    <w:name w:val="Heading 3"/>
    <w:basedOn w:val="Normal"/>
    <w:next w:val="Normal"/>
    <w:qFormat/>
    <w:pPr>
      <w:spacing w:after="6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2026-06-26T17:33:43.284Z</dcterms:created>
  <dcterms:modified xsi:type="dcterms:W3CDTF">2026-06-26T17:33:43.285Z</dcterms:modified>
</cp:coreProperties>
</file>

<file path=docProps/custom.xml><?xml version="1.0" encoding="utf-8"?>
<Properties xmlns="http://schemas.openxmlformats.org/officeDocument/2006/custom-properties" xmlns:vt="http://schemas.openxmlformats.org/officeDocument/2006/docPropsVTypes"/>
</file>