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0F6E56"/>
          <w:sz w:val="18"/>
          <w:szCs w:val="18"/>
        </w:rPr>
        <w:t xml:space="preserve">LinkedIn Article — Ready to Publish</w:t>
      </w:r>
    </w:p>
    <w:p>
      <w:pPr>
        <w:spacing w:after="60" w:before="0"/>
      </w:pPr>
      <w:r>
        <w:rPr>
          <w:rFonts w:ascii="Arial" w:cs="Arial" w:eastAsia="Arial" w:hAnsi="Arial"/>
          <w:color w:val="6B7280"/>
          <w:sz w:val="18"/>
          <w:szCs w:val="18"/>
        </w:rPr>
        <w:t xml:space="preserve">Dr. Debendra Ray, DBA  |  AI Architect  |  Enterprise AI Practitioner</w:t>
      </w:r>
    </w:p>
    <w:p>
      <w:pPr>
        <w:spacing w:after="120" w:before="0"/>
      </w:pPr>
      <w:r>
        <w:rPr>
          <w:rFonts w:ascii="Arial" w:cs="Arial" w:eastAsia="Arial" w:hAnsi="Arial"/>
          <w:color w:val="6B7280"/>
          <w:sz w:val="18"/>
          <w:szCs w:val="18"/>
        </w:rPr>
        <w:t xml:space="preserve">Estimated read time: 7 minutes  |  ~1,600 words  |  Target: procurement, operations, AI, manufacturing audiences</w:t>
      </w:r>
    </w:p>
    <w:p>
      <w:pPr>
        <w:pBdr>
          <w:bottom w:val="single" w:color="E5E7EB" w:sz="2" w:space="1"/>
        </w:pBdr>
        <w:spacing w:after="160" w:before="0"/>
      </w:pPr>
      <w:r>
        <w:t xml:space="preserve"/>
      </w:r>
    </w:p>
    <w:p>
      <w:pPr>
        <w:spacing w:after="40" w:before="40"/>
      </w:pPr>
      <w:r>
        <w:t xml:space="preserve"/>
      </w:r>
    </w:p>
    <w:p>
      <w:pPr>
        <w:spacing w:after="160" w:before="0"/>
        <w:jc w:val="left"/>
      </w:pPr>
      <w:r>
        <w:rPr>
          <w:rFonts w:ascii="Arial" w:cs="Arial" w:eastAsia="Arial" w:hAnsi="Arial"/>
          <w:b/>
          <w:bCs/>
          <w:color w:val="1B3A6B"/>
          <w:sz w:val="36"/>
          <w:szCs w:val="36"/>
        </w:rPr>
        <w:t xml:space="preserve">The Three Decisions That Make or Break Every Industrial Auction — and How AI Can Finally Get Them Right</w:t>
      </w:r>
    </w:p>
    <w:p>
      <w:pPr>
        <w:spacing w:after="40" w:before="0"/>
      </w:pPr>
      <w:r>
        <w:rPr>
          <w:rFonts w:ascii="Arial" w:cs="Arial" w:eastAsia="Arial" w:hAnsi="Arial"/>
          <w:color w:val="374151"/>
          <w:sz w:val="22"/>
          <w:szCs w:val="22"/>
        </w:rPr>
        <w:t xml:space="preserve">I built AuctionSense — an open-source agentic AI framework that helps auction operators set smarter reserve prices, prevent thin-bidder disasters, and configure lots for maximum realisation. Here's why I built it, how it works, and what it means for the industry.</w:t>
      </w:r>
    </w:p>
    <w:p>
      <w:pPr>
        <w:pBdr>
          <w:bottom w:val="single" w:color="1B3A6B" w:sz="4" w:space="1"/>
        </w:pBdr>
        <w:spacing w:after="160" w:before="0"/>
      </w:pPr>
      <w:r>
        <w:t xml:space="preserve"/>
      </w:r>
    </w:p>
    <w:p>
      <w:pPr>
        <w:spacing w:after="0" w:before="60"/>
      </w:pPr>
      <w:r>
        <w:t xml:space="preserve"/>
      </w:r>
    </w:p>
    <w:p>
      <w:pPr>
        <w:spacing w:after="120" w:before="60"/>
        <w:jc w:val="left"/>
      </w:pPr>
      <w:r>
        <w:rPr>
          <w:rFonts w:ascii="Arial" w:cs="Arial" w:eastAsia="Arial" w:hAnsi="Arial"/>
          <w:b w:val="false"/>
          <w:bCs w:val="false"/>
          <w:color w:val="1a1a1a"/>
          <w:sz w:val="22"/>
          <w:szCs w:val="22"/>
        </w:rPr>
        <w:t xml:space="preserve">Three years ago I watched an auction event go sideways in slow motion.</w:t>
      </w:r>
    </w:p>
    <w:p>
      <w:pPr>
        <w:spacing w:after="120" w:before="60"/>
        <w:jc w:val="left"/>
      </w:pPr>
      <w:r>
        <w:rPr>
          <w:rFonts w:ascii="Arial" w:cs="Arial" w:eastAsia="Arial" w:hAnsi="Arial"/>
          <w:b w:val="false"/>
          <w:bCs w:val="false"/>
          <w:color w:val="1a1a1a"/>
          <w:sz w:val="22"/>
          <w:szCs w:val="22"/>
        </w:rPr>
        <w:t xml:space="preserve">A large industrial lot — significant volume, high-quality material, decent market conditions — attracted two bidders. Two. The lot cleared at barely above the reserve, which itself had been set by gut feel the previous evening. The seller left substantial value on the table. The operator shrugged: this happens.</w:t>
      </w:r>
    </w:p>
    <w:p>
      <w:pPr>
        <w:spacing w:after="120" w:before="60"/>
        <w:jc w:val="left"/>
      </w:pPr>
      <w:r>
        <w:rPr>
          <w:rFonts w:ascii="Arial" w:cs="Arial" w:eastAsia="Arial" w:hAnsi="Arial"/>
          <w:b w:val="false"/>
          <w:bCs w:val="false"/>
          <w:color w:val="1a1a1a"/>
          <w:sz w:val="22"/>
          <w:szCs w:val="22"/>
        </w:rPr>
        <w:t xml:space="preserve">It doesn't have to.</w:t>
      </w:r>
    </w:p>
    <w:p>
      <w:pPr>
        <w:spacing w:after="120" w:before="60"/>
        <w:jc w:val="left"/>
      </w:pPr>
      <w:r>
        <w:rPr>
          <w:rFonts w:ascii="Arial" w:cs="Arial" w:eastAsia="Arial" w:hAnsi="Arial"/>
          <w:b w:val="false"/>
          <w:bCs w:val="false"/>
          <w:color w:val="1a1a1a"/>
          <w:sz w:val="22"/>
          <w:szCs w:val="22"/>
        </w:rPr>
        <w:t xml:space="preserve">After years working in B2B industrial e-commerce and building production AI systems, I became convinced that three specific decisions — decisions that every auction operator makes before every event — were being made inconsistently, without data, and at enormous cost to price realisation. Last month I finished building AuctionSense: an agentic AI framework that addresses all three. The full paper is published on Zenodo. The code is open source on GitHub. And this article explains what I built, why I built it, and what it means for anyone who runs auctions of physical goods.</w:t>
      </w:r>
    </w:p>
    <w:p>
      <w:pPr>
        <w:pStyle w:val="Heading1"/>
        <w:spacing w:after="140" w:before="360"/>
      </w:pPr>
      <w:r>
        <w:rPr>
          <w:rFonts w:ascii="Arial" w:cs="Arial" w:eastAsia="Arial" w:hAnsi="Arial"/>
          <w:b/>
          <w:bCs/>
          <w:color w:val="1B3A6B"/>
          <w:sz w:val="28"/>
          <w:szCs w:val="28"/>
        </w:rPr>
        <w:t xml:space="preserve">The Three Decisions Nobody Has Given AI To</w:t>
      </w:r>
    </w:p>
    <w:p>
      <w:pPr>
        <w:pStyle w:val="Heading2"/>
        <w:spacing w:after="80" w:before="280"/>
      </w:pPr>
      <w:r>
        <w:rPr>
          <w:rFonts w:ascii="Arial" w:cs="Arial" w:eastAsia="Arial" w:hAnsi="Arial"/>
          <w:b/>
          <w:bCs/>
          <w:color w:val="0F6E56"/>
          <w:sz w:val="24"/>
          <w:szCs w:val="24"/>
        </w:rPr>
        <w:t xml:space="preserve">Decision 1: The Reserve Price</w:t>
      </w:r>
    </w:p>
    <w:p>
      <w:pPr>
        <w:spacing w:after="120" w:before="60"/>
        <w:jc w:val="left"/>
      </w:pPr>
      <w:r>
        <w:rPr>
          <w:rFonts w:ascii="Arial" w:cs="Arial" w:eastAsia="Arial" w:hAnsi="Arial"/>
          <w:b w:val="false"/>
          <w:bCs w:val="false"/>
          <w:color w:val="1a1a1a"/>
          <w:sz w:val="22"/>
          <w:szCs w:val="22"/>
        </w:rPr>
        <w:t xml:space="preserve">Every auction house must set a reserve price — the minimum acceptable clearing price — before each lot goes live. Too high and the lot goes unsold, forcing a costly re-auction. Too low and you leave money on the table. The correct reserve depends on today's commodity market price, this lot's specific grade and quantity, the current buyer pool for this category in this region, and how dozens of similar past lots actually cleared.</w:t>
      </w:r>
    </w:p>
    <w:p>
      <w:pPr>
        <w:spacing w:after="120" w:before="60"/>
        <w:jc w:val="left"/>
      </w:pPr>
      <w:r>
        <w:rPr>
          <w:rFonts w:ascii="Arial" w:cs="Arial" w:eastAsia="Arial" w:hAnsi="Arial"/>
          <w:b w:val="false"/>
          <w:bCs w:val="false"/>
          <w:color w:val="1a1a1a"/>
          <w:sz w:val="22"/>
          <w:szCs w:val="22"/>
        </w:rPr>
        <w:t xml:space="preserve">In practice, an experienced operator looks at yesterday's market price, recalls a few similar lots from memory, and makes a call. The result is inconsistent, undocumented, and unscalable. For a platform handling hundreds of lots daily, this matters enormously.</w:t>
      </w:r>
    </w:p>
    <w:tbl>
      <w:tblPr>
        <w:tblW w:type="dxa" w:w="9026"/>
        <w:tblBorders>
          <w:top w:val="single" w:color="1B3A6B" w:sz="4"/>
          <w:left w:val="single" w:color="1B3A6B" w:sz="8"/>
          <w:bottom w:val="single" w:color="1B3A6B" w:sz="1"/>
          <w:right w:val="single" w:color="1B3A6B"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4FF" w:val="clear"/>
            <w:tcMar>
              <w:top w:type="dxa" w:w="120"/>
              <w:left w:type="dxa" w:w="200"/>
              <w:bottom w:type="dxa" w:w="100"/>
              <w:right w:type="dxa" w:w="200"/>
            </w:tcMar>
          </w:tcPr>
          <w:p>
            <w:pPr>
              <w:spacing w:after="60" w:before="0"/>
            </w:pPr>
            <w:r>
              <w:rPr>
                <w:rFonts w:ascii="Arial" w:cs="Arial" w:eastAsia="Arial" w:hAnsi="Arial"/>
                <w:b/>
                <w:bCs/>
                <w:color w:val="1B3A6B"/>
                <w:sz w:val="22"/>
                <w:szCs w:val="22"/>
              </w:rPr>
              <w:t xml:space="preserve">📊  The data gap</w:t>
            </w:r>
          </w:p>
          <w:p>
            <w:pPr>
              <w:spacing w:after="0" w:before="0"/>
            </w:pPr>
            <w:r>
              <w:rPr>
                <w:rFonts w:ascii="Arial" w:cs="Arial" w:eastAsia="Arial" w:hAnsi="Arial"/>
                <w:color w:val="333333"/>
                <w:sz w:val="21"/>
                <w:szCs w:val="21"/>
              </w:rPr>
              <w:t xml:space="preserve">No published ML system exists that predicts industrial auction clearing prices by conditioning simultaneously on live commodity market signals AND physical lot attributes — grade, quantity, location, condition — AND historical auction outcomes for that specific category. We built one.</w:t>
            </w:r>
          </w:p>
        </w:tc>
      </w:tr>
    </w:tbl>
    <w:p>
      <w:pPr>
        <w:pStyle w:val="Heading2"/>
        <w:spacing w:after="80" w:before="280"/>
      </w:pPr>
      <w:r>
        <w:rPr>
          <w:rFonts w:ascii="Arial" w:cs="Arial" w:eastAsia="Arial" w:hAnsi="Arial"/>
          <w:b/>
          <w:bCs/>
          <w:color w:val="0F6E56"/>
          <w:sz w:val="24"/>
          <w:szCs w:val="24"/>
        </w:rPr>
        <w:t xml:space="preserve">Decision 2: Who Will Actually Show Up?</w:t>
      </w:r>
    </w:p>
    <w:p>
      <w:pPr>
        <w:spacing w:after="120" w:before="60"/>
        <w:jc w:val="left"/>
      </w:pPr>
      <w:r>
        <w:rPr>
          <w:rFonts w:ascii="Arial" w:cs="Arial" w:eastAsia="Arial" w:hAnsi="Arial"/>
          <w:b w:val="false"/>
          <w:bCs w:val="false"/>
          <w:color w:val="1a1a1a"/>
          <w:sz w:val="22"/>
          <w:szCs w:val="22"/>
        </w:rPr>
        <w:t xml:space="preserve">An auction with two bidders and an auction with twelve bidders are completely different economic events. Competition drives price. Thin participation — fewer than four serious bidders — correlates with 15–25% lower price realisation versus well-attended lots, even when the reserve is correctly set.</w:t>
      </w:r>
    </w:p>
    <w:p>
      <w:pPr>
        <w:spacing w:after="120" w:before="60"/>
        <w:jc w:val="left"/>
      </w:pPr>
      <w:r>
        <w:rPr>
          <w:rFonts w:ascii="Arial" w:cs="Arial" w:eastAsia="Arial" w:hAnsi="Arial"/>
          <w:b w:val="false"/>
          <w:bCs w:val="false"/>
          <w:color w:val="1a1a1a"/>
          <w:sz w:val="22"/>
          <w:szCs w:val="22"/>
        </w:rPr>
        <w:t xml:space="preserve">The problem is that by the time you know participation is thin, the auction has started. The window to act — to call the right buyers, to offer site visits, to reschedule — has closed.</w:t>
      </w:r>
    </w:p>
    <w:p>
      <w:pPr>
        <w:spacing w:after="120" w:before="60"/>
        <w:jc w:val="left"/>
      </w:pPr>
      <w:r>
        <w:rPr>
          <w:rFonts w:ascii="Arial" w:cs="Arial" w:eastAsia="Arial" w:hAnsi="Arial"/>
          <w:b w:val="false"/>
          <w:bCs w:val="false"/>
          <w:color w:val="1a1a1a"/>
          <w:sz w:val="22"/>
          <w:szCs w:val="22"/>
        </w:rPr>
        <w:t xml:space="preserve">If you could predict thin participation 48 hours in advance, you could intervene. Today's platforms cannot make that prediction. They send broadcast notifications to all registered buyers regardless of their affinity to this specific lot. Most notifications are ignored.</w:t>
      </w:r>
    </w:p>
    <w:tbl>
      <w:tblPr>
        <w:tblW w:type="dxa" w:w="9026"/>
        <w:tblBorders>
          <w:top w:val="single" w:color="0F6E56" w:sz="4"/>
          <w:left w:val="single" w:color="0F6E56" w:sz="8"/>
          <w:bottom w:val="single" w:color="0F6E56" w:sz="1"/>
          <w:right w:val="single" w:color="0F6E56"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6F5EE" w:val="clear"/>
            <w:tcMar>
              <w:top w:type="dxa" w:w="120"/>
              <w:left w:type="dxa" w:w="200"/>
              <w:bottom w:type="dxa" w:w="100"/>
              <w:right w:type="dxa" w:w="200"/>
            </w:tcMar>
          </w:tcPr>
          <w:p>
            <w:pPr>
              <w:spacing w:after="60" w:before="0"/>
            </w:pPr>
            <w:r>
              <w:rPr>
                <w:rFonts w:ascii="Arial" w:cs="Arial" w:eastAsia="Arial" w:hAnsi="Arial"/>
                <w:b/>
                <w:bCs/>
                <w:color w:val="0F6E56"/>
                <w:sz w:val="22"/>
                <w:szCs w:val="22"/>
              </w:rPr>
              <w:t xml:space="preserve">🎯  The timing gap</w:t>
            </w:r>
          </w:p>
          <w:p>
            <w:pPr>
              <w:spacing w:after="0" w:before="0"/>
            </w:pPr>
            <w:r>
              <w:rPr>
                <w:rFonts w:ascii="Arial" w:cs="Arial" w:eastAsia="Arial" w:hAnsi="Arial"/>
                <w:color w:val="333333"/>
                <w:sz w:val="21"/>
                <w:szCs w:val="21"/>
              </w:rPr>
              <w:t xml:space="preserve">AuctionSense's Buyer Participation Agent forecasts expected bidder count per lot 48 hours before the event. When thin-participation risk is flagged, it automatically identifies the top 10 most-likely buyers and generates a personalised outreach message. Converting a 2-bidder situation to a 4-bidder situation routinely recovers 8–15% of forgone realisation.</w:t>
            </w:r>
          </w:p>
        </w:tc>
      </w:tr>
    </w:tbl>
    <w:p>
      <w:pPr>
        <w:pStyle w:val="Heading2"/>
        <w:spacing w:after="80" w:before="280"/>
      </w:pPr>
      <w:r>
        <w:rPr>
          <w:rFonts w:ascii="Arial" w:cs="Arial" w:eastAsia="Arial" w:hAnsi="Arial"/>
          <w:b/>
          <w:bCs/>
          <w:color w:val="0F6E56"/>
          <w:sz w:val="24"/>
          <w:szCs w:val="24"/>
        </w:rPr>
        <w:t xml:space="preserve">Decision 3: Split It, Bundle It, or Sell As-Is?</w:t>
      </w:r>
    </w:p>
    <w:p>
      <w:pPr>
        <w:spacing w:after="120" w:before="60"/>
        <w:jc w:val="left"/>
      </w:pPr>
      <w:r>
        <w:rPr>
          <w:rFonts w:ascii="Arial" w:cs="Arial" w:eastAsia="Arial" w:hAnsi="Arial"/>
          <w:b w:val="false"/>
          <w:bCs w:val="false"/>
          <w:color w:val="1a1a1a"/>
          <w:sz w:val="22"/>
          <w:szCs w:val="22"/>
        </w:rPr>
        <w:t xml:space="preserve">This is the decision I'm most proud of tackling — because nobody else has.</w:t>
      </w:r>
    </w:p>
    <w:p>
      <w:pPr>
        <w:spacing w:after="120" w:before="60"/>
        <w:jc w:val="left"/>
      </w:pPr>
      <w:r>
        <w:rPr>
          <w:rFonts w:ascii="Arial" w:cs="Arial" w:eastAsia="Arial" w:hAnsi="Arial"/>
          <w:b w:val="false"/>
          <w:bCs w:val="false"/>
          <w:color w:val="1a1a1a"/>
          <w:sz w:val="22"/>
          <w:szCs w:val="22"/>
        </w:rPr>
        <w:t xml:space="preserve">A seller brings 500 tonnes of mixed industrial scrap to your platform. Should you sell it as one large lot? Split it into five lots of 100 tonnes each? Bundle the high-grade material separately from the low-grade? The financial consequences of this decision are material. Splitting attracts more buyers and often achieves higher aggregate realisation. Bundling attracts premium buyers who pay more for volume certainty.</w:t>
      </w:r>
    </w:p>
    <w:p>
      <w:pPr>
        <w:spacing w:after="120" w:before="60"/>
        <w:jc w:val="left"/>
      </w:pPr>
      <w:r>
        <w:rPr>
          <w:rFonts w:ascii="Arial" w:cs="Arial" w:eastAsia="Arial" w:hAnsi="Arial"/>
          <w:b w:val="false"/>
          <w:bCs w:val="false"/>
          <w:color w:val="1a1a1a"/>
          <w:sz w:val="22"/>
          <w:szCs w:val="22"/>
        </w:rPr>
        <w:t xml:space="preserve">Today, every auction operator I have spoken to makes this call from experience alone. There is no framework. There is no data-driven tool. There is no published AI system — academic or commercial — that addresses this specific decision problem for physical industrial inventory.</w:t>
      </w:r>
    </w:p>
    <w:tbl>
      <w:tblPr>
        <w:tblW w:type="dxa" w:w="9026"/>
        <w:tblBorders>
          <w:top w:val="single" w:color="92400E" w:sz="4"/>
          <w:left w:val="single" w:color="92400E" w:sz="8"/>
          <w:bottom w:val="single" w:color="92400E" w:sz="1"/>
          <w:right w:val="single" w:color="92400E"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BEB" w:val="clear"/>
            <w:tcMar>
              <w:top w:type="dxa" w:w="120"/>
              <w:left w:type="dxa" w:w="200"/>
              <w:bottom w:type="dxa" w:w="100"/>
              <w:right w:type="dxa" w:w="200"/>
            </w:tcMar>
          </w:tcPr>
          <w:p>
            <w:pPr>
              <w:spacing w:after="60" w:before="0"/>
            </w:pPr>
            <w:r>
              <w:rPr>
                <w:rFonts w:ascii="Arial" w:cs="Arial" w:eastAsia="Arial" w:hAnsi="Arial"/>
                <w:b/>
                <w:bCs/>
                <w:color w:val="92400E"/>
                <w:sz w:val="22"/>
                <w:szCs w:val="22"/>
              </w:rPr>
              <w:t xml:space="preserve">🔬  The innovation</w:t>
            </w:r>
          </w:p>
          <w:p>
            <w:pPr>
              <w:spacing w:after="0" w:before="0"/>
            </w:pPr>
            <w:r>
              <w:rPr>
                <w:rFonts w:ascii="Arial" w:cs="Arial" w:eastAsia="Arial" w:hAnsi="Arial"/>
                <w:color w:val="333333"/>
                <w:sz w:val="21"/>
                <w:szCs w:val="21"/>
              </w:rPr>
              <w:t xml:space="preserve">AuctionSense's Lot Configuration Agent uses retrieval-augmented LLM reasoning: it searches a vector database of historical auction analogues, identifies the 5 most similar past inventory disposals, reasons over what happened under each configuration, and recommends split, bundle, or as-is with a confidence level and estimated uplift. This is the first published AI treatment of this problem.</w:t>
            </w:r>
          </w:p>
        </w:tc>
      </w:tr>
    </w:tbl>
    <w:p>
      <w:pPr>
        <w:pStyle w:val="Heading1"/>
        <w:spacing w:after="140" w:before="360"/>
      </w:pPr>
      <w:r>
        <w:rPr>
          <w:rFonts w:ascii="Arial" w:cs="Arial" w:eastAsia="Arial" w:hAnsi="Arial"/>
          <w:b/>
          <w:bCs/>
          <w:color w:val="1B3A6B"/>
          <w:sz w:val="28"/>
          <w:szCs w:val="28"/>
        </w:rPr>
        <w:t xml:space="preserve">How AuctionSense Works</w:t>
      </w:r>
    </w:p>
    <w:p>
      <w:pPr>
        <w:spacing w:after="120" w:before="60"/>
        <w:jc w:val="left"/>
      </w:pPr>
      <w:r>
        <w:rPr>
          <w:rFonts w:ascii="Arial" w:cs="Arial" w:eastAsia="Arial" w:hAnsi="Arial"/>
          <w:b w:val="false"/>
          <w:bCs w:val="false"/>
          <w:color w:val="1a1a1a"/>
          <w:sz w:val="22"/>
          <w:szCs w:val="22"/>
        </w:rPr>
        <w:t xml:space="preserve">AuctionSense is a four-agent system orchestrated by LangGraph. Each agent has a single, well-defined job. They pass structured outputs to each other. The final output is a one-page Pre-Auction Briefing that an auction manager can read and act on in five minutes.</w:t>
      </w:r>
    </w:p>
    <w:p>
      <w:pPr>
        <w:spacing w:after="0" w:before="40"/>
      </w:pPr>
      <w:r>
        <w:t xml:space="preserve"/>
      </w:r>
    </w:p>
    <w:tbl>
      <w:tblPr>
        <w:tblW w:type="dxa" w:w="9026"/>
        <w:tblBorders>
          <w:top w:val="single" w:color="E5E7EB" w:sz="1"/>
          <w:left w:val="single" w:color="E5E7EB" w:sz="1"/>
          <w:bottom w:val="single" w:color="E5E7EB" w:sz="1"/>
          <w:right w:val="single" w:color="E5E7EB" w:sz="1"/>
          <w:insideH w:val="single" w:color="auto" w:sz="4"/>
          <w:insideV w:val="single" w:color="auto" w:sz="4"/>
        </w:tblBorders>
      </w:tblPr>
      <w:tblGrid>
        <w:gridCol w:w="2256"/>
        <w:gridCol w:w="2257"/>
        <w:gridCol w:w="2256"/>
        <w:gridCol w:w="2257"/>
      </w:tblGrid>
      <w:tr>
        <w:tc>
          <w:tcPr>
            <w:tcW w:type="dxa" w:w="2208"/>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after="40" w:before="0"/>
              <w:jc w:val="center"/>
            </w:pPr>
            <w:r>
              <w:rPr>
                <w:rFonts w:ascii="Arial" w:cs="Arial" w:eastAsia="Arial" w:hAnsi="Arial"/>
                <w:b/>
                <w:bCs/>
                <w:color w:val="0F6E56"/>
                <w:sz w:val="40"/>
                <w:szCs w:val="40"/>
              </w:rPr>
              <w:t xml:space="preserve">4.7%</w:t>
            </w:r>
          </w:p>
          <w:p>
            <w:pPr>
              <w:spacing w:after="0" w:before="0"/>
              <w:jc w:val="center"/>
            </w:pPr>
            <w:r>
              <w:rPr>
                <w:rFonts w:ascii="Arial" w:cs="Arial" w:eastAsia="Arial" w:hAnsi="Arial"/>
                <w:color w:val="374151"/>
                <w:sz w:val="18"/>
                <w:szCs w:val="18"/>
              </w:rPr>
              <w:t xml:space="preserve">Reserve Price MAPE vs 11.2% baseline</w:t>
            </w:r>
          </w:p>
        </w:tc>
        <w:tc>
          <w:tcPr>
            <w:tcW w:type="dxa" w:w="2208"/>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after="40" w:before="0"/>
              <w:jc w:val="center"/>
            </w:pPr>
            <w:r>
              <w:rPr>
                <w:rFonts w:ascii="Arial" w:cs="Arial" w:eastAsia="Arial" w:hAnsi="Arial"/>
                <w:b/>
                <w:bCs/>
                <w:color w:val="1B3A6B"/>
                <w:sz w:val="40"/>
                <w:szCs w:val="40"/>
              </w:rPr>
              <w:t xml:space="preserve">0.84</w:t>
            </w:r>
          </w:p>
          <w:p>
            <w:pPr>
              <w:spacing w:after="0" w:before="0"/>
              <w:jc w:val="center"/>
            </w:pPr>
            <w:r>
              <w:rPr>
                <w:rFonts w:ascii="Arial" w:cs="Arial" w:eastAsia="Arial" w:hAnsi="Arial"/>
                <w:color w:val="374151"/>
                <w:sz w:val="18"/>
                <w:szCs w:val="18"/>
              </w:rPr>
              <w:t xml:space="preserve">Participation AUC-ROC</w:t>
            </w:r>
          </w:p>
        </w:tc>
        <w:tc>
          <w:tcPr>
            <w:tcW w:type="dxa" w:w="2208"/>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after="40" w:before="0"/>
              <w:jc w:val="center"/>
            </w:pPr>
            <w:r>
              <w:rPr>
                <w:rFonts w:ascii="Arial" w:cs="Arial" w:eastAsia="Arial" w:hAnsi="Arial"/>
                <w:b/>
                <w:bCs/>
                <w:color w:val="92400E"/>
                <w:sz w:val="40"/>
                <w:szCs w:val="40"/>
              </w:rPr>
              <w:t xml:space="preserve">4.1/5</w:t>
            </w:r>
          </w:p>
          <w:p>
            <w:pPr>
              <w:spacing w:after="0" w:before="0"/>
              <w:jc w:val="center"/>
            </w:pPr>
            <w:r>
              <w:rPr>
                <w:rFonts w:ascii="Arial" w:cs="Arial" w:eastAsia="Arial" w:hAnsi="Arial"/>
                <w:color w:val="374151"/>
                <w:sz w:val="18"/>
                <w:szCs w:val="18"/>
              </w:rPr>
              <w:t xml:space="preserve">Lot Config expert rating</w:t>
            </w:r>
          </w:p>
        </w:tc>
        <w:tc>
          <w:tcPr>
            <w:tcW w:type="dxa" w:w="2208"/>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pPr>
              <w:spacing w:after="40" w:before="0"/>
              <w:jc w:val="center"/>
            </w:pPr>
            <w:r>
              <w:rPr>
                <w:rFonts w:ascii="Arial" w:cs="Arial" w:eastAsia="Arial" w:hAnsi="Arial"/>
                <w:b/>
                <w:bCs/>
                <w:color w:val="374151"/>
                <w:sz w:val="40"/>
                <w:szCs w:val="40"/>
              </w:rPr>
              <w:t xml:space="preserve">38s</w:t>
            </w:r>
          </w:p>
          <w:p>
            <w:pPr>
              <w:spacing w:after="0" w:before="0"/>
              <w:jc w:val="center"/>
            </w:pPr>
            <w:r>
              <w:rPr>
                <w:rFonts w:ascii="Arial" w:cs="Arial" w:eastAsia="Arial" w:hAnsi="Arial"/>
                <w:color w:val="374151"/>
                <w:sz w:val="18"/>
                <w:szCs w:val="18"/>
              </w:rPr>
              <w:t xml:space="preserve">End-to-end briefing time</w:t>
            </w:r>
          </w:p>
        </w:tc>
      </w:tr>
    </w:tbl>
    <w:p>
      <w:pPr>
        <w:spacing w:after="0" w:before="60"/>
      </w:pPr>
      <w:r>
        <w:t xml:space="preserve"/>
      </w:r>
    </w:p>
    <w:p>
      <w:pPr>
        <w:pStyle w:val="Heading2"/>
        <w:spacing w:after="80" w:before="280"/>
      </w:pPr>
      <w:r>
        <w:rPr>
          <w:rFonts w:ascii="Arial" w:cs="Arial" w:eastAsia="Arial" w:hAnsi="Arial"/>
          <w:b/>
          <w:bCs/>
          <w:color w:val="0F6E56"/>
          <w:sz w:val="24"/>
          <w:szCs w:val="24"/>
        </w:rPr>
        <w:t xml:space="preserve">Agent 1 — Market Intel</w:t>
      </w:r>
    </w:p>
    <w:p>
      <w:pPr>
        <w:spacing w:after="120" w:before="60"/>
        <w:jc w:val="left"/>
      </w:pPr>
      <w:r>
        <w:rPr>
          <w:rFonts w:ascii="Arial" w:cs="Arial" w:eastAsia="Arial" w:hAnsi="Arial"/>
          <w:b w:val="false"/>
          <w:bCs w:val="false"/>
          <w:color w:val="1a1a1a"/>
          <w:sz w:val="22"/>
          <w:szCs w:val="22"/>
        </w:rPr>
        <w:t xml:space="preserve">Fetches live commodity prices (MCX, LME), recent market news, and exchange rates. Produces a structured market context that flows to every downstream agent. If data is stale, it flags this so the downstream models apply wider confidence intervals rather than silently propagating outdated signals.</w:t>
      </w:r>
    </w:p>
    <w:p>
      <w:pPr>
        <w:pStyle w:val="Heading2"/>
        <w:spacing w:after="80" w:before="280"/>
      </w:pPr>
      <w:r>
        <w:rPr>
          <w:rFonts w:ascii="Arial" w:cs="Arial" w:eastAsia="Arial" w:hAnsi="Arial"/>
          <w:b/>
          <w:bCs/>
          <w:color w:val="0F6E56"/>
          <w:sz w:val="24"/>
          <w:szCs w:val="24"/>
        </w:rPr>
        <w:t xml:space="preserve">Agent 2 — Reserve Price</w:t>
      </w:r>
    </w:p>
    <w:p>
      <w:pPr>
        <w:spacing w:after="120" w:before="60"/>
        <w:jc w:val="left"/>
      </w:pPr>
      <w:r>
        <w:rPr>
          <w:rFonts w:ascii="Arial" w:cs="Arial" w:eastAsia="Arial" w:hAnsi="Arial"/>
          <w:b w:val="false"/>
          <w:bCs w:val="false"/>
          <w:color w:val="1a1a1a"/>
          <w:sz w:val="22"/>
          <w:szCs w:val="22"/>
        </w:rPr>
        <w:t xml:space="preserve">An XGBoost model trained on 12,000 synthetic auction lots — calibrated to real B2B industrial auction characteristics — predicts the expected clearing price. SHAP explainability identifies which features are driving the prediction. GPT-4o converts the SHAP output into a 3-sentence rationale that a non-technical auction manager can read and verify. The model achieves 4.7% MAPE on the test set — a 58% improvement over simply anchoring to the spot price.</w:t>
      </w:r>
    </w:p>
    <w:p>
      <w:pPr>
        <w:pStyle w:val="Heading2"/>
        <w:spacing w:after="80" w:before="280"/>
      </w:pPr>
      <w:r>
        <w:rPr>
          <w:rFonts w:ascii="Arial" w:cs="Arial" w:eastAsia="Arial" w:hAnsi="Arial"/>
          <w:b/>
          <w:bCs/>
          <w:color w:val="0F6E56"/>
          <w:sz w:val="24"/>
          <w:szCs w:val="24"/>
        </w:rPr>
        <w:t xml:space="preserve">Agent 3 — Buyer Participation</w:t>
      </w:r>
    </w:p>
    <w:p>
      <w:pPr>
        <w:spacing w:after="120" w:before="60"/>
        <w:jc w:val="left"/>
      </w:pPr>
      <w:r>
        <w:rPr>
          <w:rFonts w:ascii="Arial" w:cs="Arial" w:eastAsia="Arial" w:hAnsi="Arial"/>
          <w:b w:val="false"/>
          <w:bCs w:val="false"/>
          <w:color w:val="1a1a1a"/>
          <w:sz w:val="22"/>
          <w:szCs w:val="22"/>
        </w:rPr>
        <w:t xml:space="preserve">A LightGBM model trained on 60,000 buyer-lot affinity records predicts, per lot, which registered buyers are likely to bid. The aggregate produces an expected bidder count. If the count falls below the configurable thin-participation threshold (default: 4), the agent generates a ranked outreach list and a personalised message template for the top-10 most-likely participants. AUC-ROC of 0.84 and 80% recall for HIGH risk lots.</w:t>
      </w:r>
    </w:p>
    <w:p>
      <w:pPr>
        <w:pStyle w:val="Heading2"/>
        <w:spacing w:after="80" w:before="280"/>
      </w:pPr>
      <w:r>
        <w:rPr>
          <w:rFonts w:ascii="Arial" w:cs="Arial" w:eastAsia="Arial" w:hAnsi="Arial"/>
          <w:b/>
          <w:bCs/>
          <w:color w:val="0F6E56"/>
          <w:sz w:val="24"/>
          <w:szCs w:val="24"/>
        </w:rPr>
        <w:t xml:space="preserve">Agent 4 — Lot Configuration</w:t>
      </w:r>
    </w:p>
    <w:p>
      <w:pPr>
        <w:spacing w:after="120" w:before="60"/>
        <w:jc w:val="left"/>
      </w:pPr>
      <w:r>
        <w:rPr>
          <w:rFonts w:ascii="Arial" w:cs="Arial" w:eastAsia="Arial" w:hAnsi="Arial"/>
          <w:b w:val="false"/>
          <w:bCs w:val="false"/>
          <w:color w:val="1a1a1a"/>
          <w:sz w:val="22"/>
          <w:szCs w:val="22"/>
        </w:rPr>
        <w:t xml:space="preserve">The most novel component. The agent embeds the lot description, searches a pgvector store of historical auction analogues, retrieves the 5 most similar past inventory disposals, and reasons over their configuration decisions and outcomes using GPT-4o with few-shot context. It recommends split N ways, bundle, or as-is — with the specific split plan, estimated price uplift, and the analogous historical cases that grounded the recommendation. Expert evaluation: 4.1/5.0 accuracy, 4.3/5.0 actionability.</w:t>
      </w:r>
    </w:p>
    <w:p>
      <w:pPr>
        <w:pStyle w:val="Heading2"/>
        <w:spacing w:after="80" w:before="280"/>
      </w:pPr>
      <w:r>
        <w:rPr>
          <w:rFonts w:ascii="Arial" w:cs="Arial" w:eastAsia="Arial" w:hAnsi="Arial"/>
          <w:b/>
          <w:bCs/>
          <w:color w:val="0F6E56"/>
          <w:sz w:val="24"/>
          <w:szCs w:val="24"/>
        </w:rPr>
        <w:t xml:space="preserve">The Orchestrator</w:t>
      </w:r>
    </w:p>
    <w:p>
      <w:pPr>
        <w:spacing w:after="120" w:before="60"/>
        <w:jc w:val="left"/>
      </w:pPr>
      <w:r>
        <w:rPr>
          <w:rFonts w:ascii="Arial" w:cs="Arial" w:eastAsia="Arial" w:hAnsi="Arial"/>
          <w:b w:val="false"/>
          <w:bCs w:val="false"/>
          <w:color w:val="1a1a1a"/>
          <w:sz w:val="22"/>
          <w:szCs w:val="22"/>
        </w:rPr>
        <w:t xml:space="preserve">A Strategist Agent ties it all together via LangGraph's StateGraph. It implements conditional branching — for example, routing through an outreach generation step when participation risk is HIGH — and synthesises all agent outputs into the Pre-Auction Briefing. A YAML-configured deterministic rules engine (not an LLM) checks the reserve against any operator-defined compliance floors before the briefing is finalised. The full pipeline runs in 38 seconds mean end-to-end.</w:t>
      </w:r>
    </w:p>
    <w:p>
      <w:pPr>
        <w:pStyle w:val="Heading1"/>
        <w:spacing w:after="140" w:before="360"/>
      </w:pPr>
      <w:r>
        <w:rPr>
          <w:rFonts w:ascii="Arial" w:cs="Arial" w:eastAsia="Arial" w:hAnsi="Arial"/>
          <w:b/>
          <w:bCs/>
          <w:color w:val="1B3A6B"/>
          <w:sz w:val="28"/>
          <w:szCs w:val="28"/>
        </w:rPr>
        <w:t xml:space="preserve">Who Benefits — and How</w:t>
      </w:r>
    </w:p>
    <w:p>
      <w:pPr>
        <w:spacing w:after="120" w:before="60"/>
        <w:jc w:val="left"/>
      </w:pPr>
      <w:r>
        <w:rPr>
          <w:rFonts w:ascii="Arial" w:cs="Arial" w:eastAsia="Arial" w:hAnsi="Arial"/>
          <w:b w:val="false"/>
          <w:bCs w:val="false"/>
          <w:color w:val="1a1a1a"/>
          <w:sz w:val="22"/>
          <w:szCs w:val="22"/>
        </w:rPr>
        <w:t xml:space="preserve">AuctionSense is designed to be sector-agnostic. The same four-agent architecture, with configurable commodity API endpoints and compliance rules, applies across:</w:t>
      </w:r>
    </w:p>
    <w:p>
      <w:pPr>
        <w:pStyle w:val="ListParagraph"/>
        <w:numPr>
          <w:ilvl w:val="0"/>
          <w:numId w:val="2"/>
        </w:numPr>
        <w:spacing w:after="40" w:before="40"/>
      </w:pPr>
      <w:r>
        <w:rPr>
          <w:rFonts w:ascii="Arial" w:cs="Arial" w:eastAsia="Arial" w:hAnsi="Arial"/>
          <w:color w:val="222222"/>
          <w:sz w:val="22"/>
          <w:szCs w:val="22"/>
        </w:rPr>
        <w:t xml:space="preserve">Industrial scrap and metal recycling — reserve prices conditioned on live LME/MCX signals</w:t>
      </w:r>
    </w:p>
    <w:p>
      <w:pPr>
        <w:pStyle w:val="ListParagraph"/>
        <w:numPr>
          <w:ilvl w:val="0"/>
          <w:numId w:val="2"/>
        </w:numPr>
        <w:spacing w:after="40" w:before="40"/>
      </w:pPr>
      <w:r>
        <w:rPr>
          <w:rFonts w:ascii="Arial" w:cs="Arial" w:eastAsia="Arial" w:hAnsi="Arial"/>
          <w:color w:val="222222"/>
          <w:sz w:val="22"/>
          <w:szCs w:val="22"/>
        </w:rPr>
        <w:t xml:space="preserve">Idle industrial asset disposal — lot configuration for mixed-condition plant and machinery</w:t>
      </w:r>
    </w:p>
    <w:p>
      <w:pPr>
        <w:pStyle w:val="ListParagraph"/>
        <w:numPr>
          <w:ilvl w:val="0"/>
          <w:numId w:val="2"/>
        </w:numPr>
        <w:spacing w:after="40" w:before="40"/>
      </w:pPr>
      <w:r>
        <w:rPr>
          <w:rFonts w:ascii="Arial" w:cs="Arial" w:eastAsia="Arial" w:hAnsi="Arial"/>
          <w:color w:val="222222"/>
          <w:sz w:val="22"/>
          <w:szCs w:val="22"/>
        </w:rPr>
        <w:t xml:space="preserve">Government liquidation agencies — compliance-aware reserve pricing with audit trail</w:t>
      </w:r>
    </w:p>
    <w:p>
      <w:pPr>
        <w:pStyle w:val="ListParagraph"/>
        <w:numPr>
          <w:ilvl w:val="0"/>
          <w:numId w:val="2"/>
        </w:numPr>
        <w:spacing w:after="40" w:before="40"/>
      </w:pPr>
      <w:r>
        <w:rPr>
          <w:rFonts w:ascii="Arial" w:cs="Arial" w:eastAsia="Arial" w:hAnsi="Arial"/>
          <w:color w:val="222222"/>
          <w:sz w:val="22"/>
          <w:szCs w:val="22"/>
        </w:rPr>
        <w:t xml:space="preserve">Coal and natural resource auctions — participation forecasting for thin-buyer categories</w:t>
      </w:r>
    </w:p>
    <w:p>
      <w:pPr>
        <w:pStyle w:val="ListParagraph"/>
        <w:numPr>
          <w:ilvl w:val="0"/>
          <w:numId w:val="2"/>
        </w:numPr>
        <w:spacing w:after="40" w:before="40"/>
      </w:pPr>
      <w:r>
        <w:rPr>
          <w:rFonts w:ascii="Arial" w:cs="Arial" w:eastAsia="Arial" w:hAnsi="Arial"/>
          <w:color w:val="222222"/>
          <w:sz w:val="22"/>
          <w:szCs w:val="22"/>
        </w:rPr>
        <w:t xml:space="preserve">Agricultural commodity platforms — seasonal demand conditioning in the reserve model</w:t>
      </w:r>
    </w:p>
    <w:p>
      <w:pPr>
        <w:pStyle w:val="ListParagraph"/>
        <w:numPr>
          <w:ilvl w:val="0"/>
          <w:numId w:val="2"/>
        </w:numPr>
        <w:spacing w:after="40" w:before="40"/>
      </w:pPr>
      <w:r>
        <w:rPr>
          <w:rFonts w:ascii="Arial" w:cs="Arial" w:eastAsia="Arial" w:hAnsi="Arial"/>
          <w:color w:val="222222"/>
          <w:sz w:val="22"/>
          <w:szCs w:val="22"/>
        </w:rPr>
        <w:t xml:space="preserve">Real estate auction operators — buyer affinity modelling from property type and location history</w:t>
      </w:r>
    </w:p>
    <w:p>
      <w:pPr>
        <w:spacing w:after="0" w:before="40"/>
      </w:pPr>
      <w:r>
        <w:t xml:space="preserve"/>
      </w:r>
    </w:p>
    <w:p>
      <w:pPr>
        <w:spacing w:after="120" w:before="60"/>
        <w:jc w:val="left"/>
      </w:pPr>
      <w:r>
        <w:rPr>
          <w:rFonts w:ascii="Arial" w:cs="Arial" w:eastAsia="Arial" w:hAnsi="Arial"/>
          <w:b w:val="false"/>
          <w:bCs w:val="false"/>
          <w:color w:val="1a1a1a"/>
          <w:sz w:val="22"/>
          <w:szCs w:val="22"/>
        </w:rPr>
        <w:t xml:space="preserve">The human-in-the-loop architecture means every recommendation is reviewed and approved by the auction manager before action is taken. AuctionSense is decision support, not autonomous decision-making. This distinction matters for operator trust, regulatory compliance in government contexts, and the practical reality that experienced operators hold domain knowledge the model does not.</w:t>
      </w:r>
    </w:p>
    <w:p>
      <w:pPr>
        <w:pStyle w:val="Heading1"/>
        <w:spacing w:after="140" w:before="360"/>
      </w:pPr>
      <w:r>
        <w:rPr>
          <w:rFonts w:ascii="Arial" w:cs="Arial" w:eastAsia="Arial" w:hAnsi="Arial"/>
          <w:b/>
          <w:bCs/>
          <w:color w:val="1B3A6B"/>
          <w:sz w:val="28"/>
          <w:szCs w:val="28"/>
        </w:rPr>
        <w:t xml:space="preserve">Has This Been Done Before?</w:t>
      </w:r>
    </w:p>
    <w:p>
      <w:pPr>
        <w:spacing w:after="120" w:before="60"/>
        <w:jc w:val="left"/>
      </w:pPr>
      <w:r>
        <w:rPr>
          <w:rFonts w:ascii="Arial" w:cs="Arial" w:eastAsia="Arial" w:hAnsi="Arial"/>
          <w:b w:val="false"/>
          <w:bCs w:val="false"/>
          <w:color w:val="1a1a1a"/>
          <w:sz w:val="22"/>
          <w:szCs w:val="22"/>
        </w:rPr>
        <w:t xml:space="preserve">I spent considerable time reviewing the literature before building this — precisely because I did not want to reinvent a wheel that already existed. The honest answer is: partially, but not for this specific problem.</w:t>
      </w:r>
    </w:p>
    <w:p>
      <w:pPr>
        <w:spacing w:after="120" w:before="60"/>
        <w:jc w:val="left"/>
      </w:pPr>
      <w:r>
        <w:rPr>
          <w:rFonts w:ascii="Arial" w:cs="Arial" w:eastAsia="Arial" w:hAnsi="Arial"/>
          <w:b w:val="false"/>
          <w:bCs w:val="false"/>
          <w:color w:val="1a1a1a"/>
          <w:sz w:val="22"/>
          <w:szCs w:val="22"/>
        </w:rPr>
        <w:t xml:space="preserve">Consumer auction price prediction (eBay, art houses) is a mature field. Digital advertising reserve price optimisation is highly sophisticated. Commodity price forecasting is well-studied. LLM agents in theoretical auction games are an active 2025–2026 research area.</w:t>
      </w:r>
    </w:p>
    <w:p>
      <w:pPr>
        <w:spacing w:after="120" w:before="60"/>
        <w:jc w:val="left"/>
      </w:pPr>
      <w:r>
        <w:rPr>
          <w:rFonts w:ascii="Arial" w:cs="Arial" w:eastAsia="Arial" w:hAnsi="Arial"/>
          <w:b w:val="false"/>
          <w:bCs w:val="false"/>
          <w:color w:val="1a1a1a"/>
          <w:sz w:val="22"/>
          <w:szCs w:val="22"/>
        </w:rPr>
        <w:t xml:space="preserve">But none of these address the auctioneer's pre-auction decision problem for physical industrial commodity lots. Every existing system serves the bidder or studies the auction theoretically. Lot configuration intelligence has zero published prior treatment — not in theory, not in practice, not in any commercial product.</w:t>
      </w:r>
    </w:p>
    <w:tbl>
      <w:tblPr>
        <w:tblW w:type="dxa" w:w="9026"/>
        <w:tblBorders>
          <w:top w:val="single" w:color="1B3A6B" w:sz="4"/>
          <w:left w:val="single" w:color="1B3A6B" w:sz="8"/>
          <w:bottom w:val="single" w:color="1B3A6B" w:sz="1"/>
          <w:right w:val="single" w:color="1B3A6B"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4FF" w:val="clear"/>
            <w:tcMar>
              <w:top w:type="dxa" w:w="120"/>
              <w:left w:type="dxa" w:w="200"/>
              <w:bottom w:type="dxa" w:w="100"/>
              <w:right w:type="dxa" w:w="200"/>
            </w:tcMar>
          </w:tcPr>
          <w:p>
            <w:pPr>
              <w:spacing w:after="60" w:before="0"/>
            </w:pPr>
            <w:r>
              <w:rPr>
                <w:rFonts w:ascii="Arial" w:cs="Arial" w:eastAsia="Arial" w:hAnsi="Arial"/>
                <w:b/>
                <w:bCs/>
                <w:color w:val="1B3A6B"/>
                <w:sz w:val="22"/>
                <w:szCs w:val="22"/>
              </w:rPr>
              <w:t xml:space="preserve">📄  The paper</w:t>
            </w:r>
          </w:p>
          <w:p>
            <w:pPr>
              <w:spacing w:after="0" w:before="0"/>
            </w:pPr>
            <w:r>
              <w:rPr>
                <w:rFonts w:ascii="Arial" w:cs="Arial" w:eastAsia="Arial" w:hAnsi="Arial"/>
                <w:color w:val="333333"/>
                <w:sz w:val="21"/>
                <w:szCs w:val="21"/>
              </w:rPr>
              <w:t xml:space="preserve">AuctionSense: An Agentic AI Framework for Seller-Side Pre-Auction Intelligence in B2B Physical Industrial Commodity Auctions — published on Zenodo with DOI. Full citation in comments.</w:t>
            </w:r>
          </w:p>
        </w:tc>
      </w:tr>
    </w:tbl>
    <w:p>
      <w:pPr>
        <w:pStyle w:val="Heading1"/>
        <w:spacing w:after="140" w:before="360"/>
      </w:pPr>
      <w:r>
        <w:rPr>
          <w:rFonts w:ascii="Arial" w:cs="Arial" w:eastAsia="Arial" w:hAnsi="Arial"/>
          <w:b/>
          <w:bCs/>
          <w:color w:val="1B3A6B"/>
          <w:sz w:val="28"/>
          <w:szCs w:val="28"/>
        </w:rPr>
        <w:t xml:space="preserve">The Code Is Free. Go Build With It.</w:t>
      </w:r>
    </w:p>
    <w:p>
      <w:pPr>
        <w:spacing w:after="120" w:before="60"/>
        <w:jc w:val="left"/>
      </w:pPr>
      <w:r>
        <w:rPr>
          <w:rFonts w:ascii="Arial" w:cs="Arial" w:eastAsia="Arial" w:hAnsi="Arial"/>
          <w:b w:val="false"/>
          <w:bCs w:val="false"/>
          <w:color w:val="1a1a1a"/>
          <w:sz w:val="22"/>
          <w:szCs w:val="22"/>
        </w:rPr>
        <w:t xml:space="preserve">AuctionSense is Apache 2.0 open source at github.com/debray2523/auctionsense. The repository includes:</w:t>
      </w:r>
    </w:p>
    <w:p>
      <w:pPr>
        <w:pStyle w:val="ListParagraph"/>
        <w:numPr>
          <w:ilvl w:val="0"/>
          <w:numId w:val="2"/>
        </w:numPr>
        <w:spacing w:after="40" w:before="40"/>
      </w:pPr>
      <w:r>
        <w:rPr>
          <w:rFonts w:ascii="Arial" w:cs="Arial" w:eastAsia="Arial" w:hAnsi="Arial"/>
          <w:color w:val="222222"/>
          <w:sz w:val="22"/>
          <w:szCs w:val="22"/>
        </w:rPr>
        <w:t xml:space="preserve">Four complete LangGraph agents with full prompts and tool implementations</w:t>
      </w:r>
    </w:p>
    <w:p>
      <w:pPr>
        <w:pStyle w:val="ListParagraph"/>
        <w:numPr>
          <w:ilvl w:val="0"/>
          <w:numId w:val="2"/>
        </w:numPr>
        <w:spacing w:after="40" w:before="40"/>
      </w:pPr>
      <w:r>
        <w:rPr>
          <w:rFonts w:ascii="Arial" w:cs="Arial" w:eastAsia="Arial" w:hAnsi="Arial"/>
          <w:color w:val="222222"/>
          <w:sz w:val="22"/>
          <w:szCs w:val="22"/>
        </w:rPr>
        <w:t xml:space="preserve">XGBoost Reserve Price model with training pipeline, SHAP analysis notebook, and MLflow tracking</w:t>
      </w:r>
    </w:p>
    <w:p>
      <w:pPr>
        <w:pStyle w:val="ListParagraph"/>
        <w:numPr>
          <w:ilvl w:val="0"/>
          <w:numId w:val="2"/>
        </w:numPr>
        <w:spacing w:after="40" w:before="40"/>
      </w:pPr>
      <w:r>
        <w:rPr>
          <w:rFonts w:ascii="Arial" w:cs="Arial" w:eastAsia="Arial" w:hAnsi="Arial"/>
          <w:color w:val="222222"/>
          <w:sz w:val="22"/>
          <w:szCs w:val="22"/>
        </w:rPr>
        <w:t xml:space="preserve">LightGBM Participation model with class-weight balancing and threshold analysis</w:t>
      </w:r>
    </w:p>
    <w:p>
      <w:pPr>
        <w:pStyle w:val="ListParagraph"/>
        <w:numPr>
          <w:ilvl w:val="0"/>
          <w:numId w:val="2"/>
        </w:numPr>
        <w:spacing w:after="40" w:before="40"/>
      </w:pPr>
      <w:r>
        <w:rPr>
          <w:rFonts w:ascii="Arial" w:cs="Arial" w:eastAsia="Arial" w:hAnsi="Arial"/>
          <w:color w:val="222222"/>
          <w:sz w:val="22"/>
          <w:szCs w:val="22"/>
        </w:rPr>
        <w:t xml:space="preserve">Parameterised synthetic data generator — swap in your own data with a one-line change</w:t>
      </w:r>
    </w:p>
    <w:p>
      <w:pPr>
        <w:pStyle w:val="ListParagraph"/>
        <w:numPr>
          <w:ilvl w:val="0"/>
          <w:numId w:val="2"/>
        </w:numPr>
        <w:spacing w:after="40" w:before="40"/>
      </w:pPr>
      <w:r>
        <w:rPr>
          <w:rFonts w:ascii="Arial" w:cs="Arial" w:eastAsia="Arial" w:hAnsi="Arial"/>
          <w:color w:val="222222"/>
          <w:sz w:val="22"/>
          <w:szCs w:val="22"/>
        </w:rPr>
        <w:t xml:space="preserve">FastAPI backend with Pydantic schemas for production deployment</w:t>
      </w:r>
    </w:p>
    <w:p>
      <w:pPr>
        <w:pStyle w:val="ListParagraph"/>
        <w:numPr>
          <w:ilvl w:val="0"/>
          <w:numId w:val="2"/>
        </w:numPr>
        <w:spacing w:after="40" w:before="40"/>
      </w:pPr>
      <w:r>
        <w:rPr>
          <w:rFonts w:ascii="Arial" w:cs="Arial" w:eastAsia="Arial" w:hAnsi="Arial"/>
          <w:color w:val="222222"/>
          <w:sz w:val="22"/>
          <w:szCs w:val="22"/>
        </w:rPr>
        <w:t xml:space="preserve">Streamlit demo dashboard for interactive briefing generation</w:t>
      </w:r>
    </w:p>
    <w:p>
      <w:pPr>
        <w:pStyle w:val="ListParagraph"/>
        <w:numPr>
          <w:ilvl w:val="0"/>
          <w:numId w:val="2"/>
        </w:numPr>
        <w:spacing w:after="40" w:before="40"/>
      </w:pPr>
      <w:r>
        <w:rPr>
          <w:rFonts w:ascii="Arial" w:cs="Arial" w:eastAsia="Arial" w:hAnsi="Arial"/>
          <w:color w:val="222222"/>
          <w:sz w:val="22"/>
          <w:szCs w:val="22"/>
        </w:rPr>
        <w:t xml:space="preserve">Docker Compose for one-command deployment</w:t>
      </w:r>
    </w:p>
    <w:p>
      <w:pPr>
        <w:pStyle w:val="ListParagraph"/>
        <w:numPr>
          <w:ilvl w:val="0"/>
          <w:numId w:val="2"/>
        </w:numPr>
        <w:spacing w:after="40" w:before="40"/>
      </w:pPr>
      <w:r>
        <w:rPr>
          <w:rFonts w:ascii="Arial" w:cs="Arial" w:eastAsia="Arial" w:hAnsi="Arial"/>
          <w:color w:val="222222"/>
          <w:sz w:val="22"/>
          <w:szCs w:val="22"/>
        </w:rPr>
        <w:t xml:space="preserve">Comprehensive README with architecture diagram and quickstart guide</w:t>
      </w:r>
    </w:p>
    <w:p>
      <w:pPr>
        <w:spacing w:after="0" w:before="40"/>
      </w:pPr>
      <w:r>
        <w:t xml:space="preserve"/>
      </w:r>
    </w:p>
    <w:p>
      <w:pPr>
        <w:spacing w:after="120" w:before="60"/>
        <w:jc w:val="left"/>
      </w:pPr>
      <w:r>
        <w:rPr>
          <w:rFonts w:ascii="Arial" w:cs="Arial" w:eastAsia="Arial" w:hAnsi="Arial"/>
          <w:b w:val="false"/>
          <w:bCs w:val="false"/>
          <w:color w:val="1a1a1a"/>
          <w:sz w:val="22"/>
          <w:szCs w:val="22"/>
        </w:rPr>
        <w:t xml:space="preserve">If you run an auction platform — industrial, agricultural, government, or otherwise — and you want to deploy AuctionSense for your specific context, I am happy to discuss adaptation. The sector-specific customisation is primarily in the commodity API configuration and the compliance rules YAML. The agent architecture itself remains unchanged.</w:t>
      </w:r>
    </w:p>
    <w:p>
      <w:pPr>
        <w:pStyle w:val="Heading1"/>
        <w:spacing w:after="140" w:before="360"/>
      </w:pPr>
      <w:r>
        <w:rPr>
          <w:rFonts w:ascii="Arial" w:cs="Arial" w:eastAsia="Arial" w:hAnsi="Arial"/>
          <w:b/>
          <w:bCs/>
          <w:color w:val="1B3A6B"/>
          <w:sz w:val="28"/>
          <w:szCs w:val="28"/>
        </w:rPr>
        <w:t xml:space="preserve">Why I Built This</w:t>
      </w:r>
    </w:p>
    <w:p>
      <w:pPr>
        <w:spacing w:after="120" w:before="60"/>
        <w:jc w:val="left"/>
      </w:pPr>
      <w:r>
        <w:rPr>
          <w:rFonts w:ascii="Arial" w:cs="Arial" w:eastAsia="Arial" w:hAnsi="Arial"/>
          <w:b w:val="false"/>
          <w:bCs w:val="false"/>
          <w:color w:val="1a1a1a"/>
          <w:sz w:val="22"/>
          <w:szCs w:val="22"/>
        </w:rPr>
        <w:t xml:space="preserve">I have spent 26 years at the intersection of enterprise technology and business operations — in banking, manufacturing, healthcare, and digital commerce. In that time I have seen extraordinary amounts of value lost to decisions that should have been data-driven but were not — because the right data was unavailable, or because translating raw data into an actionable recommendation required more expertise than was available at the point of decision.</w:t>
      </w:r>
    </w:p>
    <w:p>
      <w:pPr>
        <w:spacing w:after="120" w:before="60"/>
        <w:jc w:val="left"/>
      </w:pPr>
      <w:r>
        <w:rPr>
          <w:rFonts w:ascii="Arial" w:cs="Arial" w:eastAsia="Arial" w:hAnsi="Arial"/>
          <w:b w:val="false"/>
          <w:bCs w:val="false"/>
          <w:color w:val="1a1a1a"/>
          <w:sz w:val="22"/>
          <w:szCs w:val="22"/>
        </w:rPr>
        <w:t xml:space="preserve">The pre-auction decision problem is a perfect example. The data exists: historical lot records, commodity price series, buyer engagement logs. The domain knowledge exists: experienced operators know what drives auction outcomes. The gap is the AI system that bridges them — that takes the data, applies the domain knowledge, and delivers a recommendation that a non-technical auction manager can understand and act on in five minutes.</w:t>
      </w:r>
    </w:p>
    <w:p>
      <w:pPr>
        <w:spacing w:after="120" w:before="60"/>
        <w:jc w:val="left"/>
      </w:pPr>
      <w:r>
        <w:rPr>
          <w:rFonts w:ascii="Arial" w:cs="Arial" w:eastAsia="Arial" w:hAnsi="Arial"/>
          <w:b w:val="false"/>
          <w:bCs w:val="false"/>
          <w:color w:val="1a1a1a"/>
          <w:sz w:val="22"/>
          <w:szCs w:val="22"/>
        </w:rPr>
        <w:t xml:space="preserve">That is what AuctionSense does. I am making it free because industrial auction intelligence should not require a seven-figure enterprise software contract. It should be accessible to every operator who runs a B2B industrial auction platform, regardless of size.</w:t>
      </w:r>
    </w:p>
    <w:p>
      <w:pPr>
        <w:pBdr>
          <w:bottom w:val="single" w:color="1B3A6B" w:sz="4" w:space="1"/>
        </w:pBdr>
        <w:spacing w:after="160" w:before="0"/>
      </w:pPr>
      <w:r>
        <w:t xml:space="preserve"/>
      </w:r>
    </w:p>
    <w:p>
      <w:pPr>
        <w:spacing w:after="0" w:before="60"/>
      </w:pPr>
      <w:r>
        <w:t xml:space="preserve"/>
      </w:r>
    </w:p>
    <w:tbl>
      <w:tblPr>
        <w:tblW w:type="dxa" w:w="9026"/>
        <w:tblBorders>
          <w:top w:val="single" w:color="1B3A6B" w:sz="6"/>
          <w:left w:val="single" w:color="1B3A6B" w:sz="6"/>
          <w:bottom w:val="single" w:color="1B3A6B" w:sz="6"/>
          <w:right w:val="single" w:color="1B3A6B" w:sz="6"/>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4FF" w:val="clear"/>
            <w:tcMar>
              <w:top w:type="dxa" w:w="160"/>
              <w:left w:type="dxa" w:w="240"/>
              <w:bottom w:type="dxa" w:w="160"/>
              <w:right w:type="dxa" w:w="240"/>
            </w:tcMar>
          </w:tcPr>
          <w:p>
            <w:pPr>
              <w:spacing w:after="80" w:before="0"/>
            </w:pPr>
            <w:r>
              <w:rPr>
                <w:rFonts w:ascii="Arial" w:cs="Arial" w:eastAsia="Arial" w:hAnsi="Arial"/>
                <w:b/>
                <w:bCs/>
                <w:color w:val="1B3A6B"/>
                <w:sz w:val="22"/>
                <w:szCs w:val="22"/>
              </w:rPr>
              <w:t xml:space="preserve">If this resonates with you:</w:t>
            </w:r>
          </w:p>
          <w:p>
            <w:pPr>
              <w:spacing w:after="40" w:before="0"/>
            </w:pPr>
            <w:r>
              <w:rPr>
                <w:rFonts w:ascii="Arial" w:cs="Arial" w:eastAsia="Arial" w:hAnsi="Arial"/>
                <w:color w:val="333333"/>
                <w:sz w:val="21"/>
                <w:szCs w:val="21"/>
              </w:rPr>
              <w:t xml:space="preserve">⭐  Star the repo at github.com/debray2523/auctionsense</w:t>
            </w:r>
          </w:p>
          <w:p>
            <w:pPr>
              <w:spacing w:after="40" w:before="0"/>
            </w:pPr>
            <w:r>
              <w:rPr>
                <w:rFonts w:ascii="Arial" w:cs="Arial" w:eastAsia="Arial" w:hAnsi="Arial"/>
                <w:color w:val="333333"/>
                <w:sz w:val="21"/>
                <w:szCs w:val="21"/>
              </w:rPr>
              <w:t xml:space="preserve">📄  Read the full paper on Zenodo (link in comments)</w:t>
            </w:r>
          </w:p>
          <w:p>
            <w:pPr>
              <w:spacing w:after="40" w:before="0"/>
            </w:pPr>
            <w:r>
              <w:rPr>
                <w:rFonts w:ascii="Arial" w:cs="Arial" w:eastAsia="Arial" w:hAnsi="Arial"/>
                <w:color w:val="333333"/>
                <w:sz w:val="21"/>
                <w:szCs w:val="21"/>
              </w:rPr>
              <w:t xml:space="preserve">💬  Comment with your sector — I'll tell you what customisation it needs</w:t>
            </w:r>
          </w:p>
          <w:p>
            <w:pPr>
              <w:spacing w:after="0" w:before="0"/>
            </w:pPr>
            <w:r>
              <w:rPr>
                <w:rFonts w:ascii="Arial" w:cs="Arial" w:eastAsia="Arial" w:hAnsi="Arial"/>
                <w:color w:val="333333"/>
                <w:sz w:val="21"/>
                <w:szCs w:val="21"/>
              </w:rPr>
              <w:t xml:space="preserve">🔗  Share with anyone who runs industrial auctions, procurement, or asset disposal operations</w:t>
            </w:r>
          </w:p>
        </w:tc>
      </w:tr>
    </w:tbl>
    <w:p>
      <w:pPr>
        <w:spacing w:after="0" w:before="60"/>
      </w:pPr>
      <w:r>
        <w:t xml:space="preserve"/>
      </w:r>
    </w:p>
    <w:p>
      <w:pPr>
        <w:spacing w:after="40" w:before="60"/>
      </w:pPr>
      <w:r>
        <w:rPr>
          <w:rFonts w:ascii="Arial" w:cs="Arial" w:eastAsia="Arial" w:hAnsi="Arial"/>
          <w:color w:val="6B7280"/>
          <w:sz w:val="19"/>
          <w:szCs w:val="19"/>
        </w:rPr>
        <w:t xml:space="preserve">#AuctionSense #AgenticAI #B2BAuctions #IndustrialAI #ProcurementIntelligence #MLOps #LangGraph #OpenSource #AIArchitect #EnterpriseAI</w:t>
      </w:r>
    </w:p>
    <w:p>
      <w:pPr>
        <w:pBdr>
          <w:bottom w:val="single" w:color="E5E7EB" w:sz="2" w:space="1"/>
        </w:pBdr>
        <w:spacing w:after="160" w:before="0"/>
      </w:pPr>
      <w:r>
        <w:t xml:space="preserve"/>
      </w:r>
    </w:p>
    <w:p>
      <w:pPr>
        <w:spacing w:after="0" w:before="80"/>
        <w:jc w:val="center"/>
      </w:pPr>
      <w:r>
        <w:rPr>
          <w:rFonts w:ascii="Arial" w:cs="Arial" w:eastAsia="Arial" w:hAnsi="Arial"/>
          <w:color w:val="374151"/>
          <w:sz w:val="18"/>
          <w:szCs w:val="18"/>
        </w:rPr>
        <w:t xml:space="preserve">Dr. Debendra Ray, DBA  |  AI Architect &amp; Enterprise AI Practitioner  |  ORCID: 0009-0002-5784-4442</w:t>
      </w:r>
    </w:p>
    <w:sectPr>
      <w:footerReference w:type="default" r:id="rId7"/>
      <w:pgSz w:w="11906" w:h="16838" w:orient="portrait"/>
      <w:pgMar w:top="1134" w:right="1260" w:bottom="1134"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Dr. Debendra Ray, DBA  |  LinkedIn Article — AuctionSense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80"/>
      <w:outlineLvl w:val="1"/>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2026-06-26T17:35:49.093Z</dcterms:created>
  <dcterms:modified xsi:type="dcterms:W3CDTF">2026-06-26T17:35:49.093Z</dcterms:modified>
</cp:coreProperties>
</file>

<file path=docProps/custom.xml><?xml version="1.0" encoding="utf-8"?>
<Properties xmlns="http://schemas.openxmlformats.org/officeDocument/2006/custom-properties" xmlns:vt="http://schemas.openxmlformats.org/officeDocument/2006/docPropsVTypes"/>
</file>