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sz w:val="36"/>
          <w:szCs w:val="36"/>
        </w:rPr>
        <w:t xml:space="preserve">RELATÓRIO AMBIENTAL</w:t>
      </w:r>
    </w:p>
    <w:p>
      <w:pPr>
        <w:spacing w:after="240"/>
        <w:jc w:val="center"/>
      </w:pPr>
      <w:r>
        <w:rPr>
          <w:sz w:val="28"/>
          <w:szCs w:val="28"/>
        </w:rPr>
        <w:t xml:space="preserve">Comunidade fitoplanctônica da microbacia do Lajeado São José e riscos à captação de água para abastecimento de Chapecó (SC)</w:t>
      </w:r>
    </w:p>
    <w:p>
      <w:pPr>
        <w:jc w:val="center"/>
      </w:pPr>
      <w:r>
        <w:rPr>
          <w:sz w:val="24"/>
          <w:szCs w:val="24"/>
        </w:rPr>
        <w:t xml:space="preserve">Campanhas de outubro/2022 (C1) e abril/2023 (C2)</w:t>
      </w:r>
    </w:p>
    <w:p>
      <w:pPr>
        <w:spacing w:before="2400"/>
        <w:jc w:val="center"/>
      </w:pPr>
      <w:r>
        <w:t xml:space="preserve">[Equipe técnica · Instituição · Contrato/edital CASAN nº ___]</w:t>
      </w:r>
    </w:p>
    <w:p>
      <w:pPr>
        <w:jc w:val="center"/>
      </w:pPr>
      <w:r>
        <w:t xml:space="preserve">Chapecó, 2026</w:t>
      </w:r>
    </w:p>
    <w:p>
      <w:r>
        <w:br w:type="page"/>
      </w:r>
    </w:p>
    <w:p>
      <w:pPr>
        <w:pStyle w:val="Title"/>
      </w:pPr>
      <w:r>
        <w:t xml:space="preserve">Sumário</w:t>
      </w:r>
    </w:p>
    <w:p>
      <w:pPr>
        <w:spacing w:after="120"/>
      </w:pPr>
      <w:r>
        <w:rPr>
          <w:i/>
          <w:iCs/>
          <w:color w:val="C00000"/>
        </w:rPr>
        <w:t xml:space="preserve">[Clique com o botão direito no sumário &gt; Atualizar campo &gt; Atualizar o índice inteiro. Faça o mesmo em Referências &gt; Inserir Índice de Ilustrações para as listas de figuras e tabelas]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Title"/>
      </w:pPr>
      <w:r>
        <w:t xml:space="preserve">Como usar este modelo</w:t>
      </w:r>
    </w:p>
    <w:p>
      <w:pPr>
        <w:spacing w:after="120"/>
      </w:pPr>
      <w:r>
        <w:rPr>
          <w:i/>
          <w:iCs/>
          <w:color w:val="C00000"/>
        </w:rPr>
        <w:t xml:space="preserve">[Apague esta página antes de entregar]</w:t>
      </w:r>
    </w:p>
    <w:p>
      <w:pPr>
        <w:spacing w:after="120" w:line="360"/>
        <w:jc w:val="both"/>
      </w:pPr>
      <w:r>
        <w:t xml:space="preserve">Cada figura tem uma legenda-modelo acima (padrão ABNT), um quadro tracejado no lugar da imagem com o nome do script R que a gera e uma linha de Fonte abaixo. Substitua os colchetes pelos valores dos scripts e dos arquivos saidas/*.txt e cole a imagem no quadro. O auditor mapear_figuras.py (03_figuras_no_relatorio.csv) indica o script e a linha de cada figura.</w:t>
      </w:r>
    </w:p>
    <w:p>
      <w:pPr>
        <w:spacing w:after="120" w:line="360"/>
        <w:jc w:val="both"/>
      </w:pPr>
      <w:r>
        <w:t xml:space="preserve">A numeração de figuras e tabelas é automática (campos SEQ). Para citá-las no texto use Inserir &gt; Referência Cruzada &gt; Figura/Tabela; nunca digite o número. Depois de mover blocos, selecione tudo (Ctrl+A) e pressione F9.</w:t>
      </w:r>
    </w:p>
    <w:p>
      <w:pPr>
        <w:spacing w:after="120" w:line="360"/>
        <w:jc w:val="both"/>
      </w:pPr>
      <w:r>
        <w:t xml:space="preserve">Os nomes dos trechos são sempre Montante, Intermediário, Jusante e Reservatório, nessa ordem; as campanhas são C1 (outubro/2022) e C2 (abril/2023). Use vírgula decimal e unidades ind/mL, cél/mL, mg/L e µS/cm.</w:t>
      </w:r>
    </w:p>
    <w:p>
      <w:r>
        <w:br w:type="page"/>
      </w:r>
    </w:p>
    <w:p>
      <w:pPr>
        <w:pStyle w:val="Title"/>
      </w:pPr>
      <w:r>
        <w:t xml:space="preserve">PARTE I — CONTEXTO</w:t>
      </w:r>
    </w:p>
    <w:p>
      <w:pPr>
        <w:pStyle w:val="Heading1"/>
      </w:pPr>
      <w:r>
        <w:t xml:space="preserve">1 Apresentação</w:t>
      </w:r>
    </w:p>
    <w:p>
      <w:pPr>
        <w:pStyle w:val="Heading2"/>
      </w:pPr>
      <w:r>
        <w:t xml:space="preserve">1.1 Identificação do estudo e da equipe</w:t>
      </w:r>
    </w:p>
    <w:p>
      <w:pPr>
        <w:spacing w:after="120"/>
      </w:pPr>
      <w:r>
        <w:rPr>
          <w:i/>
          <w:iCs/>
          <w:color w:val="C00000"/>
        </w:rPr>
        <w:t xml:space="preserve">[Contratante, executora, responsáveis técnicos e registro profissional]</w:t>
      </w:r>
    </w:p>
    <w:p>
      <w:pPr>
        <w:pStyle w:val="Heading2"/>
      </w:pPr>
      <w:r>
        <w:t xml:space="preserve">1.2 Objetivos</w:t>
      </w:r>
    </w:p>
    <w:p>
      <w:pPr>
        <w:spacing w:after="120"/>
      </w:pPr>
      <w:r>
        <w:rPr>
          <w:i/>
          <w:iCs/>
          <w:color w:val="C00000"/>
        </w:rPr>
        <w:t xml:space="preserve">[Objetivo geral; objetivos específicos numerados, um para cada capítulo de resultados (6 a 12)]</w:t>
      </w:r>
    </w:p>
    <w:p>
      <w:pPr>
        <w:pStyle w:val="Heading2"/>
      </w:pPr>
      <w:r>
        <w:t xml:space="preserve">1.3 Vínculo com a captação da CASAN</w:t>
      </w:r>
    </w:p>
    <w:p>
      <w:pPr>
        <w:spacing w:after="120"/>
      </w:pPr>
      <w:r>
        <w:rPr>
          <w:i/>
          <w:iCs/>
          <w:color w:val="C00000"/>
        </w:rPr>
        <w:t xml:space="preserve">[Perguntas do edital: risco de toxicidade (cianobactérias), risco de colmatação de filtros (Ceratium, diatomáceas filamentosas) e influência do uso do solo]</w:t>
      </w:r>
    </w:p>
    <w:p>
      <w:pPr>
        <w:pStyle w:val="Heading2"/>
      </w:pPr>
      <w:r>
        <w:t xml:space="preserve">1.4 Marco legal</w:t>
      </w:r>
    </w:p>
    <w:p>
      <w:pPr>
        <w:spacing w:after="120" w:line="360"/>
        <w:jc w:val="both"/>
      </w:pPr>
      <w:r>
        <w:t xml:space="preserve">Resolução CONAMA nº 357/2005 (classificação e enquadramento); Resolução CONAMA nº 430/2011 (efluentes); Portaria GM/MS nº 888/2021 (potabilidade e monitoramento de cianobactérias e cianotoxinas no manancial); Lei nº 9.433/1997 (Política Nacional de Recursos Hídricos).</w:t>
      </w:r>
    </w:p>
    <w:p>
      <w:pPr>
        <w:spacing w:after="120"/>
      </w:pPr>
      <w:r>
        <w:rPr>
          <w:i/>
          <w:iCs/>
          <w:color w:val="C00000"/>
        </w:rPr>
        <w:t xml:space="preserve">[Conferir na Portaria GM/MS 888/2021 vigente os limiares de cianobactérias (cél/mL) que disparam monitoramento semanal e análise de cianotoxinas antes de citá-los]</w:t>
      </w:r>
    </w:p>
    <w:p>
      <w:pPr>
        <w:pStyle w:val="Heading1"/>
      </w:pPr>
      <w:r>
        <w:t xml:space="preserve">2 Área de estudo</w:t>
      </w:r>
    </w:p>
    <w:p>
      <w:pPr>
        <w:pStyle w:val="Heading2"/>
      </w:pPr>
      <w:r>
        <w:t xml:space="preserve">2.1 Localização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Localização da microbacia do Lajeado São José (Chapecó e Cordilheira Alta, SC) no estado de Santa Catarina (A) e no município (B). Sistema de referência SIRGAS 2000 / UTM 22S. Base cartográfica: [IBGE, ANA/SDE-SC].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fig01_M1_mapa_area_estudo.R ou QGIS</w:t>
      </w:r>
    </w:p>
    <w:p>
      <w:pPr>
        <w:pStyle w:val="Fonte"/>
      </w:pPr>
      <w:r>
        <w:t xml:space="preserve">Fonte: elaborado pelos autores (2026), a partir de fig01_M1_mapa_area_estudo.R ou QGIS.</w:t>
      </w:r>
    </w:p>
    <w:p>
      <w:pPr>
        <w:pStyle w:val="Heading2"/>
      </w:pPr>
      <w:r>
        <w:t xml:space="preserve">2.2 Caracterização ambiental</w:t>
      </w:r>
    </w:p>
    <w:p>
      <w:pPr>
        <w:spacing w:after="120"/>
      </w:pPr>
      <w:r>
        <w:rPr>
          <w:i/>
          <w:iCs/>
          <w:color w:val="C00000"/>
        </w:rPr>
        <w:t xml:space="preserve">[Clima (Köppen), geologia e solos, vegetação, histórico do uso do solo]</w:t>
      </w:r>
    </w:p>
    <w:p>
      <w:pPr>
        <w:pStyle w:val="Heading2"/>
      </w:pPr>
      <w:r>
        <w:t xml:space="preserve">2.3 Pontos amostrais e trechos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Distribuição dos 30 pontos amostrais nos quatro trechos do Lajeado São José (Montante, Intermediário, Jusante e Reservatório) sobre o uso e cobertura do solo (MapBiomas Coleção [x], [ano]). Escala gráfica e norte no mapa; SIRGAS 2000 / UTM 22S.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fig01_mapas_M1_M2.R / plano guilherme\mapas_espaciais_CORRIGIDO.py</w:t>
      </w:r>
    </w:p>
    <w:p>
      <w:pPr>
        <w:pStyle w:val="Fonte"/>
      </w:pPr>
      <w:r>
        <w:t xml:space="preserve">Fonte: elaborado pelos autores (2026), a partir de fig01_mapas_M1_M2.R / plano guilherme\mapas_espaciais_CORRIGIDO.py.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Pontos amostrais: código, trecho, coordenadas e altitude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119"/>
        <w:gridCol w:w="1791"/>
        <w:gridCol w:w="1567"/>
        <w:gridCol w:w="1567"/>
        <w:gridCol w:w="1231"/>
        <w:gridCol w:w="1796"/>
      </w:tblGrid>
      <w:tr>
        <w:trPr>
          <w:tblHeader/>
        </w:trPr>
        <w:tc>
          <w:tcPr>
            <w:tcW w:type="dxa" w:w="1119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Ponto</w:t>
            </w:r>
          </w:p>
        </w:tc>
        <w:tc>
          <w:tcPr>
            <w:tcW w:type="dxa" w:w="1791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Trecho</w:t>
            </w:r>
          </w:p>
        </w:tc>
        <w:tc>
          <w:tcPr>
            <w:tcW w:type="dxa" w:w="156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Latitude</w:t>
            </w:r>
          </w:p>
        </w:tc>
        <w:tc>
          <w:tcPr>
            <w:tcW w:type="dxa" w:w="156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Longitude</w:t>
            </w:r>
          </w:p>
        </w:tc>
        <w:tc>
          <w:tcPr>
            <w:tcW w:type="dxa" w:w="1231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Altitude (m)</w:t>
            </w:r>
          </w:p>
        </w:tc>
        <w:tc>
          <w:tcPr>
            <w:tcW w:type="dxa" w:w="1796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Distância da captação (km)</w:t>
            </w:r>
          </w:p>
        </w:tc>
      </w:tr>
      <w:tr>
        <w:trPr>
          <w:tblHeader w:val="false"/>
        </w:trPr>
        <w:tc>
          <w:tcPr>
            <w:tcW w:type="dxa" w:w="1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pPr>
        <w:pStyle w:val="Heading2"/>
      </w:pPr>
      <w:r>
        <w:t xml:space="preserve">2.4 Captação e sistema de tratamento</w:t>
      </w:r>
    </w:p>
    <w:p>
      <w:pPr>
        <w:spacing w:after="120"/>
      </w:pPr>
      <w:r>
        <w:rPr>
          <w:i/>
          <w:iCs/>
          <w:color w:val="C00000"/>
        </w:rPr>
        <w:t xml:space="preserve">[Localização da tomada d'água, vazão captada, tipo de tratamento da ETA]</w:t>
      </w:r>
    </w:p>
    <w:p>
      <w:pPr>
        <w:pStyle w:val="Heading1"/>
      </w:pPr>
      <w:r>
        <w:t xml:space="preserve">3 Material e métodos</w:t>
      </w:r>
    </w:p>
    <w:p>
      <w:pPr>
        <w:pStyle w:val="Heading2"/>
      </w:pPr>
      <w:r>
        <w:t xml:space="preserve">3.1 Delineamento amostral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Cronograma das campanhas e condição hidrológica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463"/>
        <w:gridCol w:w="2194"/>
        <w:gridCol w:w="1755"/>
        <w:gridCol w:w="3659"/>
      </w:tblGrid>
      <w:tr>
        <w:trPr>
          <w:tblHeader/>
        </w:trPr>
        <w:tc>
          <w:tcPr>
            <w:tcW w:type="dxa" w:w="1463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Campanha</w:t>
            </w:r>
          </w:p>
        </w:tc>
        <w:tc>
          <w:tcPr>
            <w:tcW w:type="dxa" w:w="2194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W w:type="dxa" w:w="1755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Nº de pontos</w:t>
            </w:r>
          </w:p>
        </w:tc>
        <w:tc>
          <w:tcPr>
            <w:tcW w:type="dxa" w:w="3659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Precipitação acumulada 7 dias antes (mm)</w:t>
            </w:r>
          </w:p>
        </w:tc>
      </w:tr>
      <w:tr>
        <w:trPr>
          <w:tblHeader w:val="false"/>
        </w:trPr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21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outubro/2022</w:t>
            </w:r>
          </w:p>
        </w:tc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21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abril/2023</w:t>
            </w:r>
          </w:p>
        </w:tc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pPr>
        <w:pStyle w:val="Heading2"/>
      </w:pPr>
      <w:r>
        <w:t xml:space="preserve">3.2 Coleta e análise do fitoplâncton</w:t>
      </w:r>
    </w:p>
    <w:p>
      <w:pPr>
        <w:spacing w:after="120"/>
      </w:pPr>
      <w:r>
        <w:rPr>
          <w:i/>
          <w:iCs/>
          <w:color w:val="C00000"/>
        </w:rPr>
        <w:t xml:space="preserve">[Volume coletado, fixação, câmara de Sedgwick-Rafter, critérios de contagem (SMWW 10200), laboratório responsável, unidade (ind/mL e cél/mL), biovolume]</w:t>
      </w:r>
    </w:p>
    <w:p>
      <w:pPr>
        <w:pStyle w:val="Heading2"/>
      </w:pPr>
      <w:r>
        <w:t xml:space="preserve">3.3 Variáveis ambientais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Variáveis físico-químicas: método analítico e limite de quantificação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2267"/>
        <w:gridCol w:w="1133"/>
        <w:gridCol w:w="2267"/>
        <w:gridCol w:w="1700"/>
        <w:gridCol w:w="1704"/>
      </w:tblGrid>
      <w:tr>
        <w:trPr>
          <w:tblHeader/>
        </w:trPr>
        <w:tc>
          <w:tcPr>
            <w:tcW w:type="dxa" w:w="226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Parâmetro</w:t>
            </w:r>
          </w:p>
        </w:tc>
        <w:tc>
          <w:tcPr>
            <w:tcW w:type="dxa" w:w="1133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Unidade</w:t>
            </w:r>
          </w:p>
        </w:tc>
        <w:tc>
          <w:tcPr>
            <w:tcW w:type="dxa" w:w="226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170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Limite de quantificação</w:t>
            </w:r>
          </w:p>
        </w:tc>
        <w:tc>
          <w:tcPr>
            <w:tcW w:type="dxa" w:w="1704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Laboratório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Oxigênio dissolvido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mg/L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Condutividade elétrica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µS/cm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Turbidez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NTU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Nitrogênio amoniacal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mg/L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Fósforo total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mg/L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pPr>
        <w:pStyle w:val="Heading2"/>
      </w:pPr>
      <w:r>
        <w:t xml:space="preserve">3.4 Uso e cobertura do solo</w:t>
      </w:r>
    </w:p>
    <w:p>
      <w:pPr>
        <w:spacing w:after="120"/>
      </w:pPr>
      <w:r>
        <w:rPr>
          <w:i/>
          <w:iCs/>
          <w:color w:val="C00000"/>
        </w:rPr>
        <w:t xml:space="preserve">[MapBiomas (coleção e ano), buffer (raio), classes agregadas, transformação dos dados composicionais]</w:t>
      </w:r>
    </w:p>
    <w:p>
      <w:pPr>
        <w:pStyle w:val="Heading2"/>
      </w:pPr>
      <w:r>
        <w:t xml:space="preserve">3.5 Atributos funcionais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Atributos funcionais e taxonômicos usados na diversidade funcional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943"/>
        <w:gridCol w:w="1295"/>
        <w:gridCol w:w="2591"/>
        <w:gridCol w:w="3242"/>
      </w:tblGrid>
      <w:tr>
        <w:trPr>
          <w:tblHeader/>
        </w:trPr>
        <w:tc>
          <w:tcPr>
            <w:tcW w:type="dxa" w:w="1943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Atributo</w:t>
            </w:r>
          </w:p>
        </w:tc>
        <w:tc>
          <w:tcPr>
            <w:tcW w:type="dxa" w:w="1295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2591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Categorias / unidade</w:t>
            </w:r>
          </w:p>
        </w:tc>
        <w:tc>
          <w:tcPr>
            <w:tcW w:type="dxa" w:w="324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Significado ecológico</w:t>
            </w:r>
          </w:p>
        </w:tc>
      </w:tr>
      <w:tr>
        <w:trPr>
          <w:tblHeader w:val="false"/>
        </w:trPr>
        <w:tc>
          <w:tcPr>
            <w:tcW w:type="dxa" w:w="1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pPr>
        <w:pStyle w:val="Heading2"/>
      </w:pPr>
      <w:r>
        <w:t xml:space="preserve">3.6 Análise estatística</w:t>
      </w:r>
    </w:p>
    <w:p>
      <w:pPr>
        <w:spacing w:after="120"/>
      </w:pPr>
      <w:r>
        <w:rPr>
          <w:i/>
          <w:iCs/>
          <w:color w:val="C00000"/>
        </w:rPr>
        <w:t xml:space="preserve">[Uma subseção por grupo de análise, na mesma ordem dos capítulos de resultados. Defina aqui CWM, SES, βSIM/βSNE, IndVal e TITAN2]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Resumo das análises estatísticas, pacotes do R e scripts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727"/>
        <w:gridCol w:w="1727"/>
        <w:gridCol w:w="1619"/>
        <w:gridCol w:w="1943"/>
        <w:gridCol w:w="2055"/>
      </w:tblGrid>
      <w:tr>
        <w:trPr>
          <w:tblHeader/>
        </w:trPr>
        <w:tc>
          <w:tcPr>
            <w:tcW w:type="dxa" w:w="172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Análise</w:t>
            </w:r>
          </w:p>
        </w:tc>
        <w:tc>
          <w:tcPr>
            <w:tcW w:type="dxa" w:w="172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Pergunta</w:t>
            </w:r>
          </w:p>
        </w:tc>
        <w:tc>
          <w:tcPr>
            <w:tcW w:type="dxa" w:w="1619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Pacote R (versão)</w:t>
            </w:r>
          </w:p>
        </w:tc>
        <w:tc>
          <w:tcPr>
            <w:tcW w:type="dxa" w:w="1943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Parâmetros (permutações, semente)</w:t>
            </w:r>
          </w:p>
        </w:tc>
        <w:tc>
          <w:tcPr>
            <w:tcW w:type="dxa" w:w="2055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Script</w:t>
            </w:r>
          </w:p>
        </w:tc>
      </w:tr>
      <w:tr>
        <w:trPr>
          <w:tblHeader w:val="false"/>
        </w:trPr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PCA</w:t>
            </w:r>
          </w:p>
        </w:tc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stats / FactoMineR</w:t>
            </w:r>
          </w:p>
        </w:tc>
        <w:tc>
          <w:tcPr>
            <w:tcW w:type="dxa" w:w="1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06_uso_solo.R</w:t>
            </w:r>
          </w:p>
        </w:tc>
      </w:tr>
      <w:tr>
        <w:trPr>
          <w:tblHeader w:val="false"/>
        </w:trPr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PERMANOVA</w:t>
            </w:r>
          </w:p>
        </w:tc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vegan::adonis2</w:t>
            </w:r>
          </w:p>
        </w:tc>
        <w:tc>
          <w:tcPr>
            <w:tcW w:type="dxa" w:w="1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999 perm.; set.seed()</w:t>
            </w:r>
          </w:p>
        </w:tc>
        <w:tc>
          <w:tcPr>
            <w:tcW w:type="dxa" w:w="2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09_CWM_PCoA_PERMANOVA.R</w:t>
            </w:r>
          </w:p>
        </w:tc>
      </w:tr>
      <w:tr>
        <w:trPr>
          <w:tblHeader w:val="false"/>
        </w:trPr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Diversidade funcional</w:t>
            </w:r>
          </w:p>
        </w:tc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FD::dbFD</w:t>
            </w:r>
          </w:p>
        </w:tc>
        <w:tc>
          <w:tcPr>
            <w:tcW w:type="dxa" w:w="1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 = "cailliez"</w:t>
            </w:r>
          </w:p>
        </w:tc>
        <w:tc>
          <w:tcPr>
            <w:tcW w:type="dxa" w:w="2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Modelos nulos (SES)</w:t>
            </w:r>
          </w:p>
        </w:tc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picante</w:t>
            </w:r>
          </w:p>
        </w:tc>
        <w:tc>
          <w:tcPr>
            <w:tcW w:type="dxa" w:w="1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15_modelos_nulos_FD.R</w:t>
            </w:r>
          </w:p>
        </w:tc>
      </w:tr>
      <w:tr>
        <w:trPr>
          <w:tblHeader w:val="false"/>
        </w:trPr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Beta</w:t>
            </w:r>
          </w:p>
        </w:tc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betapart</w:t>
            </w:r>
          </w:p>
        </w:tc>
        <w:tc>
          <w:tcPr>
            <w:tcW w:type="dxa" w:w="1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TITAN2</w:t>
            </w:r>
          </w:p>
        </w:tc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TITAN2</w:t>
            </w:r>
          </w:p>
        </w:tc>
        <w:tc>
          <w:tcPr>
            <w:tcW w:type="dxa" w:w="1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nBoot, numPerm</w:t>
            </w:r>
          </w:p>
        </w:tc>
        <w:tc>
          <w:tcPr>
            <w:tcW w:type="dxa" w:w="2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IndVal</w:t>
            </w:r>
          </w:p>
        </w:tc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indicspecies</w:t>
            </w:r>
          </w:p>
        </w:tc>
        <w:tc>
          <w:tcPr>
            <w:tcW w:type="dxa" w:w="1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Modelos de contagem</w:t>
            </w:r>
          </w:p>
        </w:tc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MASS / glmmTMB / pscl</w:t>
            </w:r>
          </w:p>
        </w:tc>
        <w:tc>
          <w:tcPr>
            <w:tcW w:type="dxa" w:w="1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r>
        <w:br w:type="page"/>
      </w:r>
    </w:p>
    <w:p>
      <w:pPr>
        <w:pStyle w:val="Title"/>
      </w:pPr>
      <w:r>
        <w:t xml:space="preserve">PARTE II — CARACTERIZAÇÃO AMBIENTAL</w:t>
      </w:r>
    </w:p>
    <w:p>
      <w:pPr>
        <w:pStyle w:val="Heading1"/>
      </w:pPr>
      <w:r>
        <w:t xml:space="preserve">4 Variáveis físico-químicas</w:t>
      </w:r>
    </w:p>
    <w:p>
      <w:pPr>
        <w:spacing w:after="120"/>
      </w:pPr>
      <w:r>
        <w:rPr>
          <w:i/>
          <w:iCs/>
          <w:color w:val="C00000"/>
        </w:rPr>
        <w:t xml:space="preserve">[Frase-ponte: o que este capítulo responde e por que vem antes da comunidade]</w:t>
      </w:r>
    </w:p>
    <w:p>
      <w:pPr>
        <w:pStyle w:val="Heading2"/>
      </w:pPr>
      <w:r>
        <w:t xml:space="preserve">4.1 Caracterização geral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Variáveis físico-químicas por trecho e campanha: mediana (mínimo–máximo)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14"/>
        <w:gridCol w:w="1814"/>
        <w:gridCol w:w="1814"/>
        <w:gridCol w:w="1814"/>
        <w:gridCol w:w="1815"/>
      </w:tblGrid>
      <w:tr>
        <w:trPr>
          <w:tblHeader/>
        </w:trPr>
        <w:tc>
          <w:tcPr>
            <w:tcW w:type="dxa" w:w="1814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Parâmetro</w:t>
            </w:r>
          </w:p>
        </w:tc>
        <w:tc>
          <w:tcPr>
            <w:tcW w:type="dxa" w:w="1814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Montante C1 / C2</w:t>
            </w:r>
          </w:p>
        </w:tc>
        <w:tc>
          <w:tcPr>
            <w:tcW w:type="dxa" w:w="1814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Intermediário C1 / C2</w:t>
            </w:r>
          </w:p>
        </w:tc>
        <w:tc>
          <w:tcPr>
            <w:tcW w:type="dxa" w:w="1814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Jusante C1 / C2</w:t>
            </w:r>
          </w:p>
        </w:tc>
        <w:tc>
          <w:tcPr>
            <w:tcW w:type="dxa" w:w="1815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Reservatório C1 / C2</w:t>
            </w:r>
          </w:p>
        </w:tc>
      </w:tr>
      <w:tr>
        <w:trPr>
          <w:tblHeader w:val="false"/>
        </w:trPr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pPr>
        <w:pStyle w:val="Heading2"/>
      </w:pPr>
      <w:r>
        <w:t xml:space="preserve">4.2 Conformidade com a legislação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Valores observados versus limites da Resolução CONAMA 357/2005 (classe [ ]) e da Portaria GM/MS 888/2021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14"/>
        <w:gridCol w:w="1247"/>
        <w:gridCol w:w="1247"/>
        <w:gridCol w:w="2040"/>
        <w:gridCol w:w="1587"/>
        <w:gridCol w:w="1136"/>
      </w:tblGrid>
      <w:tr>
        <w:trPr>
          <w:tblHeader/>
        </w:trPr>
        <w:tc>
          <w:tcPr>
            <w:tcW w:type="dxa" w:w="1814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4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Limite legal</w:t>
            </w:r>
          </w:p>
        </w:tc>
        <w:tc>
          <w:tcPr>
            <w:tcW w:type="dxa" w:w="124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Norma</w:t>
            </w:r>
          </w:p>
        </w:tc>
        <w:tc>
          <w:tcPr>
            <w:tcW w:type="dxa" w:w="204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Máximo observado (trecho, campanha)</w:t>
            </w:r>
          </w:p>
        </w:tc>
        <w:tc>
          <w:tcPr>
            <w:tcW w:type="dxa" w:w="158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Nº de amostras acima do limite</w:t>
            </w:r>
          </w:p>
        </w:tc>
        <w:tc>
          <w:tcPr>
            <w:tcW w:type="dxa" w:w="1136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Situação</w:t>
            </w:r>
          </w:p>
        </w:tc>
      </w:tr>
      <w:tr>
        <w:trPr>
          <w:tblHeader w:val="false"/>
        </w:trPr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Nitrogênio amoniacal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CONAMA 357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Fósforo total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CONAMA 357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Oxigênio dissolvido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CONAMA 357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Cianobactérias (cél/mL)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GM/MS 888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pPr>
        <w:pStyle w:val="Heading2"/>
      </w:pPr>
      <w:r>
        <w:t xml:space="preserve">4.3 Ordenação das variáveis físico-químicas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Biplot da Análise de Componentes Principais das variáveis físico-químicas [listar] padronizadas (média 0, DP 1). Pontos coloridos por trecho e símbolos por campanha; vetores = cargas. PC1 explica [x]% e PC2 [y]% da variância; N = [n] amostras.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 da PCA físico-química]  ·  resultados: resultados_PCAs.txt</w:t>
      </w:r>
    </w:p>
    <w:p>
      <w:pPr>
        <w:pStyle w:val="Fonte"/>
      </w:pPr>
      <w:r>
        <w:t xml:space="preserve">Fonte: elaborado pelos autores (2026), a partir de [script da PCA físico-química].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Diagnóstico da PCA físico-química: (A) variância explicada por eixo (scree plot) e (B) contribuição (%) de cada variável para PC1 e PC2; a linha tracejada indica a contribuição esperada se todas fossem iguais.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[mesmo script]</w:t>
      </w:r>
    </w:p>
    <w:p>
      <w:pPr>
        <w:pStyle w:val="Fonte"/>
      </w:pPr>
      <w:r>
        <w:t xml:space="preserve">Fonte: elaborado pelos autores (2026), a partir de [mesmo script].</w:t>
      </w:r>
    </w:p>
    <w:p>
      <w:pPr>
        <w:pStyle w:val="Heading1"/>
      </w:pPr>
      <w:r>
        <w:t xml:space="preserve">5 Uso e cobertura do solo</w:t>
      </w:r>
    </w:p>
    <w:p>
      <w:pPr>
        <w:pStyle w:val="Heading2"/>
      </w:pPr>
      <w:r>
        <w:t xml:space="preserve">5.1 Composição no entorno dos pontos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Proporção (%) das classes de uso e cobertura do solo no buffer de [x] km por trecho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3023"/>
        <w:gridCol w:w="1511"/>
        <w:gridCol w:w="1511"/>
        <w:gridCol w:w="1511"/>
        <w:gridCol w:w="1515"/>
      </w:tblGrid>
      <w:tr>
        <w:trPr>
          <w:tblHeader/>
        </w:trPr>
        <w:tc>
          <w:tcPr>
            <w:tcW w:type="dxa" w:w="3023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Classe</w:t>
            </w:r>
          </w:p>
        </w:tc>
        <w:tc>
          <w:tcPr>
            <w:tcW w:type="dxa" w:w="1511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Montante</w:t>
            </w:r>
          </w:p>
        </w:tc>
        <w:tc>
          <w:tcPr>
            <w:tcW w:type="dxa" w:w="1511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Intermediário</w:t>
            </w:r>
          </w:p>
        </w:tc>
        <w:tc>
          <w:tcPr>
            <w:tcW w:type="dxa" w:w="1511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Jusante</w:t>
            </w:r>
          </w:p>
        </w:tc>
        <w:tc>
          <w:tcPr>
            <w:tcW w:type="dxa" w:w="1515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Reservatório</w:t>
            </w:r>
          </w:p>
        </w:tc>
      </w:tr>
      <w:tr>
        <w:trPr>
          <w:tblHeader w:val="false"/>
        </w:trPr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Formação florestal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Agricultura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Pastagem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Área urbanizada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Silvicultura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pPr>
        <w:pStyle w:val="Heading2"/>
      </w:pPr>
      <w:r>
        <w:t xml:space="preserve">5.2 Ordenação do uso do solo</w:t>
      </w:r>
    </w:p>
    <w:p>
      <w:pPr>
        <w:spacing w:after="120" w:line="360"/>
        <w:jc w:val="both"/>
      </w:pPr>
      <w:r>
        <w:t xml:space="preserve">A ordenação do uso do solo é separada da físico-química porque descreve a paisagem (dados composicionais, transformados por [clr/arco-seno]) e não a qualidade da água.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Biplot da PCA da composição do uso do solo no buffer de [x] km ([transformação]) por ponto amostral, colorido por trecho; PC1 [x]%, PC2 [y]%; N = 30 pontos.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06_uso_solo.R  ·  resultados: uso_solo_*.txt</w:t>
      </w:r>
    </w:p>
    <w:p>
      <w:pPr>
        <w:pStyle w:val="Fonte"/>
      </w:pPr>
      <w:r>
        <w:t xml:space="preserve">Fonte: elaborado pelos autores (2026), a partir de 06_uso_solo.R.</w:t>
      </w:r>
    </w:p>
    <w:p>
      <w:pPr>
        <w:pStyle w:val="Heading2"/>
      </w:pPr>
      <w:r>
        <w:t xml:space="preserve">5.3 Gradiente longitudinal</w:t>
      </w:r>
    </w:p>
    <w:p>
      <w:pPr>
        <w:spacing w:after="120"/>
      </w:pPr>
      <w:r>
        <w:rPr>
          <w:i/>
          <w:iCs/>
          <w:color w:val="C00000"/>
        </w:rPr>
        <w:t xml:space="preserve">[Descrever a mudança Montante → Reservatório e conectar com o capítulo 6]</w:t>
      </w:r>
    </w:p>
    <w:p>
      <w:r>
        <w:br w:type="page"/>
      </w:r>
    </w:p>
    <w:p>
      <w:pPr>
        <w:pStyle w:val="Title"/>
      </w:pPr>
      <w:r>
        <w:t xml:space="preserve">PARTE III — COMUNIDADE FITOPLANCTÔNICA</w:t>
      </w:r>
    </w:p>
    <w:p>
      <w:pPr>
        <w:pStyle w:val="Heading1"/>
      </w:pPr>
      <w:r>
        <w:t xml:space="preserve">6 Composição e densidade</w:t>
      </w:r>
    </w:p>
    <w:p>
      <w:pPr>
        <w:pStyle w:val="Heading2"/>
      </w:pPr>
      <w:r>
        <w:t xml:space="preserve">6.1 Composição taxonômica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Táxons registrados, com ocorrência, densidade média e potencial de risco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420"/>
        <w:gridCol w:w="2404"/>
        <w:gridCol w:w="1420"/>
        <w:gridCol w:w="1420"/>
        <w:gridCol w:w="1202"/>
        <w:gridCol w:w="1205"/>
      </w:tblGrid>
      <w:tr>
        <w:trPr>
          <w:tblHeader/>
        </w:trPr>
        <w:tc>
          <w:tcPr>
            <w:tcW w:type="dxa" w:w="142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Classe</w:t>
            </w:r>
          </w:p>
        </w:tc>
        <w:tc>
          <w:tcPr>
            <w:tcW w:type="dxa" w:w="2404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Táxon</w:t>
            </w:r>
          </w:p>
        </w:tc>
        <w:tc>
          <w:tcPr>
            <w:tcW w:type="dxa" w:w="142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Frequência de ocorrência (%)</w:t>
            </w:r>
          </w:p>
        </w:tc>
        <w:tc>
          <w:tcPr>
            <w:tcW w:type="dxa" w:w="142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Densidade média (ind/mL)</w:t>
            </w:r>
          </w:p>
        </w:tc>
        <w:tc>
          <w:tcPr>
            <w:tcW w:type="dxa" w:w="120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Potencialmente tóxico</w:t>
            </w:r>
          </w:p>
        </w:tc>
        <w:tc>
          <w:tcPr>
            <w:tcW w:type="dxa" w:w="1205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Potencial colmatador</w:t>
            </w:r>
          </w:p>
        </w:tc>
      </w:tr>
      <w:tr>
        <w:trPr>
          <w:tblHeader w:val="false"/>
        </w:trPr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pPr>
        <w:pStyle w:val="Heading2"/>
      </w:pPr>
      <w:r>
        <w:t xml:space="preserve">6.2 Densidade total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Densidade fitoplanctônica total (ind/mL, escala log₁₀) por trecho em C1 (outubro/2022) e C2 (abril/2023); N = [n] amostras ([n] por trecho e campanha). Caixa = intervalo interquartil; linha = mediana; hastes = 1,5 × IIQ; pontos = valores extremos. Letras diferentes indicam diferença significativa (Kruskal-Wallis, H = [ ], p = [ ]; pós-teste de Dunn com ajuste de [Holm]).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[script]  ·  resultados: dados_por_amostra_AED.csv</w:t>
      </w:r>
    </w:p>
    <w:p>
      <w:pPr>
        <w:pStyle w:val="Fonte"/>
      </w:pPr>
      <w:r>
        <w:t xml:space="preserve">Fonte: elaborado pelos autores (2026), a partir de [script].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Contribuição relativa (%) dos grupos taxonômicos para a densidade total (A) e para a riqueza (B) por trecho e campanha; proporções calculadas sobre a soma de cada trecho; [n] táxons no total.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[script]</w:t>
      </w:r>
    </w:p>
    <w:p>
      <w:pPr>
        <w:pStyle w:val="Fonte"/>
      </w:pPr>
      <w:r>
        <w:t xml:space="preserve">Fonte: elaborado pelos autores (2026), a partir de [script].</w:t>
      </w:r>
    </w:p>
    <w:p>
      <w:pPr>
        <w:pStyle w:val="Heading2"/>
      </w:pPr>
      <w:r>
        <w:t xml:space="preserve">6.3 Táxons dominantes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Densidade média (ind/mL, log₁₀(x+1)) dos 20 táxons mais abundantes por trecho e campanha. Táxons ordenados por [densidade total decrescente / agrupamento hierárquico]; escala de cor de [mín.] a [máx.].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[script]</w:t>
      </w:r>
    </w:p>
    <w:p>
      <w:pPr>
        <w:pStyle w:val="Fonte"/>
      </w:pPr>
      <w:r>
        <w:t xml:space="preserve">Fonte: elaborado pelos autores (2026), a partir de [script].</w:t>
      </w:r>
    </w:p>
    <w:p>
      <w:pPr>
        <w:pStyle w:val="Heading1"/>
      </w:pPr>
      <w:r>
        <w:t xml:space="preserve">7 Riqueza e diversidade alfa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Riqueza de táxons (A), índice de Shannon-Wiener (B, ln) e equitabilidade de Pielou (C) por trecho e campanha; N = [n]. [Teste], p = [ ].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[script]</w:t>
      </w:r>
    </w:p>
    <w:p>
      <w:pPr>
        <w:pStyle w:val="Fonte"/>
      </w:pPr>
      <w:r>
        <w:t xml:space="preserve">Fonte: elaborado pelos autores (2026), a partir de [script].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Curvas de rarefação (linha contínua) e extrapolação (linha tracejada) da riqueza (q = 0) baseadas em [incidência/abundância] por trecho, com intervalo de confiança de 95% ([nboot] bootstraps). Os símbolos marcam a riqueza observada; cobertura amostral: [Montante x%, ...].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 iNEXT]</w:t>
      </w:r>
    </w:p>
    <w:p>
      <w:pPr>
        <w:pStyle w:val="Fonte"/>
      </w:pPr>
      <w:r>
        <w:t xml:space="preserve">Fonte: elaborado pelos autores (2026), a partir de [script iNEXT].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Riqueza observada e estimada por trecho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790"/>
        <w:gridCol w:w="1193"/>
        <w:gridCol w:w="1551"/>
        <w:gridCol w:w="1551"/>
        <w:gridCol w:w="1312"/>
        <w:gridCol w:w="1674"/>
      </w:tblGrid>
      <w:tr>
        <w:trPr>
          <w:tblHeader/>
        </w:trPr>
        <w:tc>
          <w:tcPr>
            <w:tcW w:type="dxa" w:w="179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Trecho</w:t>
            </w:r>
          </w:p>
        </w:tc>
        <w:tc>
          <w:tcPr>
            <w:tcW w:type="dxa" w:w="1193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 observado</w:t>
            </w:r>
          </w:p>
        </w:tc>
        <w:tc>
          <w:tcPr>
            <w:tcW w:type="dxa" w:w="1551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Chao2 ± EP</w:t>
            </w:r>
          </w:p>
        </w:tc>
        <w:tc>
          <w:tcPr>
            <w:tcW w:type="dxa" w:w="1551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Jackknife 1 ± EP</w:t>
            </w:r>
          </w:p>
        </w:tc>
        <w:tc>
          <w:tcPr>
            <w:tcW w:type="dxa" w:w="131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Jackknife 2</w:t>
            </w:r>
          </w:p>
        </w:tc>
        <w:tc>
          <w:tcPr>
            <w:tcW w:type="dxa" w:w="1674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% do estimado amostrado</w:t>
            </w:r>
          </w:p>
        </w:tc>
      </w:tr>
      <w:tr>
        <w:trPr>
          <w:tblHeader w:val="false"/>
        </w:trPr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Montante</w:t>
            </w:r>
          </w:p>
        </w:tc>
        <w:tc>
          <w:tcPr>
            <w:tcW w:type="dxa" w:w="1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Intermediário</w:t>
            </w:r>
          </w:p>
        </w:tc>
        <w:tc>
          <w:tcPr>
            <w:tcW w:type="dxa" w:w="1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Jusante</w:t>
            </w:r>
          </w:p>
        </w:tc>
        <w:tc>
          <w:tcPr>
            <w:tcW w:type="dxa" w:w="1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Reservatório</w:t>
            </w:r>
          </w:p>
        </w:tc>
        <w:tc>
          <w:tcPr>
            <w:tcW w:type="dxa" w:w="1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pPr>
        <w:pStyle w:val="Heading1"/>
      </w:pPr>
      <w:r>
        <w:t xml:space="preserve">8 Modelos de densidade</w:t>
      </w:r>
    </w:p>
    <w:p>
      <w:pPr>
        <w:spacing w:after="120"/>
      </w:pPr>
      <w:r>
        <w:rPr>
          <w:i/>
          <w:iCs/>
          <w:color w:val="C00000"/>
        </w:rPr>
        <w:t xml:space="preserve">[Informar nos Métodos: família e link, offset (volume analisado), diagnóstico de resíduos (DHARMa) e seleção por AIC]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Densidade predita (± IC 95%) de fitoplâncton total (A), diatomáceas (B) e cianobactérias (C) por trecho e campanha. (A, B) [GLM binomial negativo / glmmTMB nbinom2 com dispersão variando por campanha]; (C) modelo hurdle (parte binária logit + contagem binomial negativa truncada). Pontos = observados; N = [n]; letras = contrastes de Tukey (emmeans) na escala da resposta.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fig04_M1_glm_predictions.R / [script]  ·  resultados: GLM_*.txt</w:t>
      </w:r>
    </w:p>
    <w:p>
      <w:pPr>
        <w:pStyle w:val="Fonte"/>
      </w:pPr>
      <w:r>
        <w:t xml:space="preserve">Fonte: elaborado pelos autores (2026), a partir de fig04_M1_glm_predictions.R / [script].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Coeficientes dos modelos de densidade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2015"/>
        <w:gridCol w:w="2267"/>
        <w:gridCol w:w="1385"/>
        <w:gridCol w:w="1133"/>
        <w:gridCol w:w="1133"/>
        <w:gridCol w:w="1138"/>
      </w:tblGrid>
      <w:tr>
        <w:trPr>
          <w:tblHeader/>
        </w:trPr>
        <w:tc>
          <w:tcPr>
            <w:tcW w:type="dxa" w:w="2015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Resposta</w:t>
            </w:r>
          </w:p>
        </w:tc>
        <w:tc>
          <w:tcPr>
            <w:tcW w:type="dxa" w:w="226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tcW w:type="dxa" w:w="1385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Estimativa</w:t>
            </w:r>
          </w:p>
        </w:tc>
        <w:tc>
          <w:tcPr>
            <w:tcW w:type="dxa" w:w="1133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</w:t>
            </w:r>
          </w:p>
        </w:tc>
        <w:tc>
          <w:tcPr>
            <w:tcW w:type="dxa" w:w="1133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</w:t>
            </w:r>
          </w:p>
        </w:tc>
        <w:tc>
          <w:tcPr>
            <w:tcW w:type="dxa" w:w="113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20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r>
        <w:br w:type="page"/>
      </w:r>
    </w:p>
    <w:p>
      <w:pPr>
        <w:pStyle w:val="Title"/>
      </w:pPr>
      <w:r>
        <w:t xml:space="preserve">PARTE IV — RISCO À CAPTAÇÃO E ORGANIZAÇÃO FUNCIONAL</w:t>
      </w:r>
    </w:p>
    <w:p>
      <w:pPr>
        <w:pStyle w:val="Heading1"/>
      </w:pPr>
      <w:r>
        <w:t xml:space="preserve">9 Grupos de risco à captação</w:t>
      </w:r>
    </w:p>
    <w:p>
      <w:pPr>
        <w:pStyle w:val="Heading2"/>
      </w:pPr>
      <w:r>
        <w:t xml:space="preserve">9.1 Cianobactérias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Distribuição espacial da densidade de cianobactérias (cél/mL) nos 30 pontos amostrais em C1 (A) e C2 (B). Tamanho do símbolo proporcional à densidade; cores = faixas da Portaria GM/MS 888/2021. SIRGAS 2000 / UTM 22S; escala gráfica e norte no mapa; base: [ANA/SDE-SC].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 de mapas]</w:t>
      </w:r>
    </w:p>
    <w:p>
      <w:pPr>
        <w:pStyle w:val="Fonte"/>
      </w:pPr>
      <w:r>
        <w:t xml:space="preserve">Fonte: elaborado pelos autores (2026), a partir de [script de mapas].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Densidade de cianobactérias versus limiares da Portaria GM/MS 888/2021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790"/>
        <w:gridCol w:w="1432"/>
        <w:gridCol w:w="1432"/>
        <w:gridCol w:w="1790"/>
        <w:gridCol w:w="2627"/>
      </w:tblGrid>
      <w:tr>
        <w:trPr>
          <w:tblHeader/>
        </w:trPr>
        <w:tc>
          <w:tcPr>
            <w:tcW w:type="dxa" w:w="179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Trecho</w:t>
            </w:r>
          </w:p>
        </w:tc>
        <w:tc>
          <w:tcPr>
            <w:tcW w:type="dxa" w:w="143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 (cél/mL)</w:t>
            </w:r>
          </w:p>
        </w:tc>
        <w:tc>
          <w:tcPr>
            <w:tcW w:type="dxa" w:w="143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C2 (cél/mL)</w:t>
            </w:r>
          </w:p>
        </w:tc>
        <w:tc>
          <w:tcPr>
            <w:tcW w:type="dxa" w:w="1790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Faixa da Portaria</w:t>
            </w:r>
          </w:p>
        </w:tc>
        <w:tc>
          <w:tcPr>
            <w:tcW w:type="dxa" w:w="262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Ação requerida</w:t>
            </w:r>
          </w:p>
        </w:tc>
      </w:tr>
      <w:tr>
        <w:trPr>
          <w:tblHeader w:val="false"/>
        </w:trPr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Montante</w:t>
            </w:r>
          </w:p>
        </w:tc>
        <w:tc>
          <w:tcPr>
            <w:tcW w:type="dxa" w:w="1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Intermediário</w:t>
            </w:r>
          </w:p>
        </w:tc>
        <w:tc>
          <w:tcPr>
            <w:tcW w:type="dxa" w:w="1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Jusante</w:t>
            </w:r>
          </w:p>
        </w:tc>
        <w:tc>
          <w:tcPr>
            <w:tcW w:type="dxa" w:w="1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Reservatório</w:t>
            </w:r>
          </w:p>
        </w:tc>
        <w:tc>
          <w:tcPr>
            <w:tcW w:type="dxa" w:w="1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pPr>
        <w:pStyle w:val="Heading2"/>
      </w:pPr>
      <w:r>
        <w:t xml:space="preserve">9.2 Táxons potencialmente tóxicos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Distribuição espacial da densidade de táxons potencialmente tóxicos ([listar gêneros]) (ind/mL) nos 30 pontos amostrais em C1 (A) e C2 (B). Tamanho do símbolo proporcional à densidade. SIRGAS 2000 / UTM 22S; escala gráfica e norte no mapa; base: [ANA/SDE-SC].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 de mapas]</w:t>
      </w:r>
    </w:p>
    <w:p>
      <w:pPr>
        <w:pStyle w:val="Fonte"/>
      </w:pPr>
      <w:r>
        <w:t xml:space="preserve">Fonte: elaborado pelos autores (2026), a partir de [script de mapas].</w:t>
      </w:r>
    </w:p>
    <w:p>
      <w:pPr>
        <w:pStyle w:val="Heading2"/>
      </w:pPr>
      <w:r>
        <w:t xml:space="preserve">9.3 Flagelados (risco de colmatação)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Distribuição espacial da densidade de flagelados, com destaque para Ceratium (ind/mL) nos 30 pontos amostrais em C1 (A) e C2 (B). Tamanho do símbolo proporcional à densidade. SIRGAS 2000 / UTM 22S; escala gráfica e norte no mapa; base: [ANA/SDE-SC].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 de mapas]</w:t>
      </w:r>
    </w:p>
    <w:p>
      <w:pPr>
        <w:pStyle w:val="Fonte"/>
      </w:pPr>
      <w:r>
        <w:t xml:space="preserve">Fonte: elaborado pelos autores (2026), a partir de [script de mapas].</w:t>
      </w:r>
    </w:p>
    <w:p>
      <w:pPr>
        <w:pStyle w:val="Heading2"/>
      </w:pPr>
      <w:r>
        <w:t xml:space="preserve">9.4 Diatomáceas formadoras de cadeia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Distribuição espacial da densidade de diatomáceas formadoras de cadeia (Aulacoseira, Melosira) (ind/mL) nos 30 pontos amostrais em C1 (A) e C2 (B). Tamanho do símbolo proporcional à densidade. SIRGAS 2000 / UTM 22S; escala gráfica e norte no mapa; base: [ANA/SDE-SC].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 de mapas]</w:t>
      </w:r>
    </w:p>
    <w:p>
      <w:pPr>
        <w:pStyle w:val="Fonte"/>
      </w:pPr>
      <w:r>
        <w:t xml:space="preserve">Fonte: elaborado pelos autores (2026), a partir de [script de mapas].</w:t>
      </w:r>
    </w:p>
    <w:p>
      <w:pPr>
        <w:pStyle w:val="Heading2"/>
      </w:pPr>
      <w:r>
        <w:t xml:space="preserve">9.5 Síntese espacial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Painel-síntese dos grupos de risco por ponto e campanha: [média geométrica / soma] das densidades padronizadas; [critério de classes].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[script]</w:t>
      </w:r>
    </w:p>
    <w:p>
      <w:pPr>
        <w:pStyle w:val="Fonte"/>
      </w:pPr>
      <w:r>
        <w:t xml:space="preserve">Fonte: elaborado pelos autores (2026), a partir de [script].</w:t>
      </w:r>
    </w:p>
    <w:p>
      <w:pPr>
        <w:pStyle w:val="Heading1"/>
      </w:pPr>
      <w:r>
        <w:t xml:space="preserve">10 Diversidade funcional</w:t>
      </w:r>
    </w:p>
    <w:p>
      <w:pPr>
        <w:pStyle w:val="Heading2"/>
      </w:pPr>
      <w:r>
        <w:t xml:space="preserve">10.1 Espaço funcional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Dendrograma funcional (UPGMA) da distância de Gower entre [n] táxons com base em [10] atributos ([listar]); correlação cofenética = [ ].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09_CWM_PCoA_PERMANOVA.R</w:t>
      </w:r>
    </w:p>
    <w:p>
      <w:pPr>
        <w:pStyle w:val="Fonte"/>
      </w:pPr>
      <w:r>
        <w:t xml:space="preserve">Fonte: elaborado pelos autores (2026), a partir de 09_CWM_PCoA_PERMANOVA.R.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Espaço funcional (PCoA da distância de Gower com correção de Cailliez); polígonos = envoltória convexa de cada trecho; PCoA1 [x]%, PCoA2 [y]%. PERMANOVA: pseudo-F = [ ], R² = [ ], p = [ ] ([999] permutações).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09_CWM_PCoA_PERMANOVA.R  ·  resultados: PERMANOVA_CWM.txt</w:t>
      </w:r>
    </w:p>
    <w:p>
      <w:pPr>
        <w:pStyle w:val="Fonte"/>
      </w:pPr>
      <w:r>
        <w:t xml:space="preserve">Fonte: elaborado pelos autores (2026), a partir de 09_CWM_PCoA_PERMANOVA.R.</w:t>
      </w:r>
    </w:p>
    <w:p>
      <w:pPr>
        <w:pStyle w:val="Heading2"/>
      </w:pPr>
      <w:r>
        <w:t xml:space="preserve">10.2 Índices de diversidade funcional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Riqueza (FRic), equitabilidade (FEve), divergência (FDiv), dispersão funcional (FDis) e entropia de Rao (RaoQ) por trecho (FD::dbFD, corr = "cailliez"); N de amostras com índice calculável: FRic = [n], demais = [n]. [Teste], p = [ ].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[script]  ·  resultados: diversidade_funcional.txt</w:t>
      </w:r>
    </w:p>
    <w:p>
      <w:pPr>
        <w:pStyle w:val="Fonte"/>
      </w:pPr>
      <w:r>
        <w:t xml:space="preserve">Fonte: elaborado pelos autores (2026), a partir de [script].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Índices de diversidade funcional por campanha (C1 × C2); N = [n] por campanha; teste de Wilcoxon, p = [ ].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[script]</w:t>
      </w:r>
    </w:p>
    <w:p>
      <w:pPr>
        <w:pStyle w:val="Fonte"/>
      </w:pPr>
      <w:r>
        <w:t xml:space="preserve">Fonte: elaborado pelos autores (2026), a partir de [script].</w:t>
      </w:r>
    </w:p>
    <w:p>
      <w:pPr>
        <w:pStyle w:val="Heading2"/>
      </w:pPr>
      <w:r>
        <w:t xml:space="preserve">10.3 Modelos nulos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Tamanho de efeito padronizado (SES = [obs − média nula]/DP nula) de RaoQ e FDis por trecho, com [999] aleatorizações ([algoritmo]); linhas tracejadas em ±1,96.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15_modelos_nulos_FD.R  ·  resultados: SES_diversidade_funcional.txt</w:t>
      </w:r>
    </w:p>
    <w:p>
      <w:pPr>
        <w:pStyle w:val="Fonte"/>
      </w:pPr>
      <w:r>
        <w:t xml:space="preserve">Fonte: elaborado pelos autores (2026), a partir de 15_modelos_nulos_FD.R.</w:t>
      </w:r>
    </w:p>
    <w:p>
      <w:pPr>
        <w:pStyle w:val="Heading2"/>
      </w:pPr>
      <w:r>
        <w:t xml:space="preserve">10.4 Composição funcional ponderada (CWM)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Média ponderada pela comunidade (CWM, densidade relativa) dos atributos [listar] por trecho; PERMANOVA sobre a CWM transformada por Hellinger: R² = [ ], p = [ ] ([999] permutações).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fig07_M2_CWM_profiles.R  ·  resultados: CWM_medias_regiao.txt</w:t>
      </w:r>
    </w:p>
    <w:p>
      <w:pPr>
        <w:pStyle w:val="Fonte"/>
      </w:pPr>
      <w:r>
        <w:t xml:space="preserve">Fonte: elaborado pelos autores (2026), a partir de fig07_M2_CWM_profiles.R.</w:t>
      </w:r>
    </w:p>
    <w:p>
      <w:pPr>
        <w:pStyle w:val="Heading1"/>
      </w:pPr>
      <w:r>
        <w:t xml:space="preserve">11 Diversidade beta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Partição da diversidade beta multi-sítio (Sørensen; Baselga, 2010) em substituição (βSIM) e aninhamento (βSNE), taxonômica (A) e funcional (B), por campanha.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 betapart]  ·  resultados: beta_*.txt</w:t>
      </w:r>
    </w:p>
    <w:p>
      <w:pPr>
        <w:pStyle w:val="Fonte"/>
      </w:pPr>
      <w:r>
        <w:t xml:space="preserve">Fonte: elaborado pelos autores (2026), a partir de [script betapart].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Relação par a par entre βSIM e βSNE para pares de pontos dentro do mesmo trecho e entre trechos diferentes.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 betapart]  ·  resultados: beta_taxonomica_pares.txt</w:t>
      </w:r>
    </w:p>
    <w:p>
      <w:pPr>
        <w:pStyle w:val="Fonte"/>
      </w:pPr>
      <w:r>
        <w:t xml:space="preserve">Fonte: elaborado pelos autores (2026), a partir de [script betapart].</w:t>
      </w:r>
    </w:p>
    <w:p>
      <w:pPr>
        <w:pStyle w:val="Heading1"/>
      </w:pPr>
      <w:r>
        <w:t xml:space="preserve">12 Limiares ecológicos e bioindicadores</w:t>
      </w:r>
    </w:p>
    <w:p>
      <w:pPr>
        <w:pStyle w:val="Heading2"/>
      </w:pPr>
      <w:r>
        <w:t xml:space="preserve">12.1 TITAN2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Limiares de mudança de táxons ao longo do gradiente de [variável] (TITAN2; [500] bootstraps, [250] permutações). Apenas táxons com pureza e confiabilidade ≥ 0,95; z− (decrescentes) em azul, z+ (crescentes) em vermelho; linhas = IC 5–95%.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 TITAN2]  ·  resultados: TITAN_limiares_por_taxon.csv</w:t>
      </w:r>
    </w:p>
    <w:p>
      <w:pPr>
        <w:pStyle w:val="Fonte"/>
      </w:pPr>
      <w:r>
        <w:t xml:space="preserve">Fonte: elaborado pelos autores (2026), a partir de [script TITAN2].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Táxons com limiar robusto (TITAN2)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2325"/>
        <w:gridCol w:w="1395"/>
        <w:gridCol w:w="1162"/>
        <w:gridCol w:w="1628"/>
        <w:gridCol w:w="1162"/>
        <w:gridCol w:w="1399"/>
      </w:tblGrid>
      <w:tr>
        <w:trPr>
          <w:tblHeader/>
        </w:trPr>
        <w:tc>
          <w:tcPr>
            <w:tcW w:type="dxa" w:w="2325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Táxon</w:t>
            </w:r>
          </w:p>
        </w:tc>
        <w:tc>
          <w:tcPr>
            <w:tcW w:type="dxa" w:w="1395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Grupo (z− / z+)</w:t>
            </w:r>
          </w:p>
        </w:tc>
        <w:tc>
          <w:tcPr>
            <w:tcW w:type="dxa" w:w="116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Limiar</w:t>
            </w:r>
          </w:p>
        </w:tc>
        <w:tc>
          <w:tcPr>
            <w:tcW w:type="dxa" w:w="162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 5–95%</w:t>
            </w:r>
          </w:p>
        </w:tc>
        <w:tc>
          <w:tcPr>
            <w:tcW w:type="dxa" w:w="116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Pureza</w:t>
            </w:r>
          </w:p>
        </w:tc>
        <w:tc>
          <w:tcPr>
            <w:tcW w:type="dxa" w:w="1399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Confiabilidade</w:t>
            </w:r>
          </w:p>
        </w:tc>
      </w:tr>
      <w:tr>
        <w:trPr>
          <w:tblHeader w:val="false"/>
        </w:trPr>
        <w:tc>
          <w:tcPr>
            <w:tcW w:type="dxa" w:w="2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pPr>
        <w:pStyle w:val="Heading2"/>
      </w:pPr>
      <w:r>
        <w:t xml:space="preserve">12.2 Grupos funcionais (k-prototypes)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Grupos de táxons definidos por k-prototypes (k = 6, escolhido por [silhueta/elbow]; λ = [ ]): (A) diagrama de Sankey entre grupos e trechos; (B) distribuição dos atributos quantitativos por grupo.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 k-prototypes]  ·  resultados: grupos_TT_K_prototypes.csv</w:t>
      </w:r>
    </w:p>
    <w:p>
      <w:pPr>
        <w:pStyle w:val="Fonte"/>
      </w:pPr>
      <w:r>
        <w:t xml:space="preserve">Fonte: elaborado pelos autores (2026), a partir de [script k-prototypes].</w:t>
      </w:r>
    </w:p>
    <w:p>
      <w:pPr>
        <w:pStyle w:val="Heading2"/>
      </w:pPr>
      <w:r>
        <w:t xml:space="preserve">12.3 Espécies indicadoras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Táxons indicadores (IndVal.g, indicspecies::multipatt) dos trechos e das combinações trecho × campanha; barras = IndVal; apenas p &lt; 0,05 após [999] permutações.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 IndVal]  ·  resultados: especies_indicadoras.txt</w:t>
      </w:r>
    </w:p>
    <w:p>
      <w:pPr>
        <w:pStyle w:val="Fonte"/>
      </w:pPr>
      <w:r>
        <w:t xml:space="preserve">Fonte: elaborado pelos autores (2026), a partir de [script IndVal].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Táxons indicadores por trecho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2558"/>
        <w:gridCol w:w="1628"/>
        <w:gridCol w:w="1395"/>
        <w:gridCol w:w="1395"/>
        <w:gridCol w:w="1162"/>
        <w:gridCol w:w="933"/>
      </w:tblGrid>
      <w:tr>
        <w:trPr>
          <w:tblHeader/>
        </w:trPr>
        <w:tc>
          <w:tcPr>
            <w:tcW w:type="dxa" w:w="255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Táxon</w:t>
            </w:r>
          </w:p>
        </w:tc>
        <w:tc>
          <w:tcPr>
            <w:tcW w:type="dxa" w:w="1628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Grupo</w:t>
            </w:r>
          </w:p>
        </w:tc>
        <w:tc>
          <w:tcPr>
            <w:tcW w:type="dxa" w:w="1395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 (especificidade)</w:t>
            </w:r>
          </w:p>
        </w:tc>
        <w:tc>
          <w:tcPr>
            <w:tcW w:type="dxa" w:w="1395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 (fidelidade)</w:t>
            </w:r>
          </w:p>
        </w:tc>
        <w:tc>
          <w:tcPr>
            <w:tcW w:type="dxa" w:w="116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IndVal</w:t>
            </w:r>
          </w:p>
        </w:tc>
        <w:tc>
          <w:tcPr>
            <w:tcW w:type="dxa" w:w="933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2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pPr>
        <w:pStyle w:val="Heading2"/>
      </w:pPr>
      <w:r>
        <w:t xml:space="preserve">12.4 Distribuição dos bioindicadores</w:t>
      </w:r>
    </w:p>
    <w:p>
      <w:pPr>
        <w:pStyle w:val="Legenda"/>
        <w:keepNext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Distribuição espacial da densidade de bioindicadores ([listar os 6 táxons somados]) (ind/mL) nos 30 pontos amostrais em C1 (A) e C2 (B). Tamanho do símbolo proporcional à densidade. SIRGAS 2000 / UTM 22S; escala gráfica e norte no mapa; base: [ANA/SDE-SC].</w:t>
      </w:r>
    </w:p>
    <w:p>
      <w:pPr>
        <w:keepNext/>
        <w:shd w:fill="F2F2F2" w:color="auto" w:val="clear"/>
        <w:spacing w:after="120" w:before="120" w:line="1800"/>
        <w:jc w:val="center"/>
      </w:pPr>
      <w:r>
        <w:rPr>
          <w:b/>
          <w:bCs/>
          <w:color w:val="808080"/>
        </w:rPr>
        <w:t xml:space="preserve">INSERIR FIGURA</w:t>
      </w:r>
      <w:r>
        <w:rPr>
          <w:color w:val="808080"/>
          <w:sz w:val="18"/>
          <w:szCs w:val="18"/>
        </w:rPr>
        <w:t xml:space="preserve">  ·  script: [script de mapas]</w:t>
      </w:r>
    </w:p>
    <w:p>
      <w:pPr>
        <w:pStyle w:val="Fonte"/>
      </w:pPr>
      <w:r>
        <w:t xml:space="preserve">Fonte: elaborado pelos autores (2026), a partir de [script de mapas].</w:t>
      </w:r>
    </w:p>
    <w:p>
      <w:r>
        <w:br w:type="page"/>
      </w:r>
    </w:p>
    <w:p>
      <w:pPr>
        <w:pStyle w:val="Title"/>
      </w:pPr>
      <w:r>
        <w:t xml:space="preserve">PARTE V — SÍNTESE</w:t>
      </w:r>
    </w:p>
    <w:p>
      <w:pPr>
        <w:pStyle w:val="Heading1"/>
      </w:pPr>
      <w:r>
        <w:t xml:space="preserve">13 Síntese, limitações e recomendações</w:t>
      </w:r>
    </w:p>
    <w:p>
      <w:pPr>
        <w:pStyle w:val="Heading2"/>
      </w:pPr>
      <w:r>
        <w:t xml:space="preserve">13.1 Respostas às perguntas do edital</w:t>
      </w:r>
    </w:p>
    <w:p>
      <w:pPr>
        <w:spacing w:after="120"/>
      </w:pPr>
      <w:r>
        <w:rPr>
          <w:i/>
          <w:iCs/>
          <w:color w:val="C00000"/>
        </w:rPr>
        <w:t xml:space="preserve">[Toxicidade, colmatação e uso do solo: uma resposta direta para cada pergunta, com a figura ou tabela que a sustenta]</w:t>
      </w:r>
    </w:p>
    <w:p>
      <w:pPr>
        <w:pStyle w:val="Heading2"/>
      </w:pPr>
      <w:r>
        <w:t xml:space="preserve">13.2 Limitações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Limitações do estudo, efeito sobre os resultados e mitigação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2591"/>
        <w:gridCol w:w="3239"/>
        <w:gridCol w:w="3241"/>
      </w:tblGrid>
      <w:tr>
        <w:trPr>
          <w:tblHeader/>
        </w:trPr>
        <w:tc>
          <w:tcPr>
            <w:tcW w:type="dxa" w:w="2591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Limitação</w:t>
            </w:r>
          </w:p>
        </w:tc>
        <w:tc>
          <w:tcPr>
            <w:tcW w:type="dxa" w:w="3239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Efeito no resultado</w:t>
            </w:r>
          </w:p>
        </w:tc>
        <w:tc>
          <w:tcPr>
            <w:tcW w:type="dxa" w:w="3241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Como mitigar no monitoramento</w:t>
            </w:r>
          </w:p>
        </w:tc>
      </w:tr>
      <w:tr>
        <w:trPr>
          <w:tblHeader w:val="false"/>
        </w:trPr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Duas campanhas apenas</w:t>
            </w:r>
          </w:p>
        </w:tc>
        <w:tc>
          <w:tcPr>
            <w:tcW w:type="dxa" w:w="32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Fração espacial (AEM) não incluída na partição de variância</w:t>
            </w:r>
          </w:p>
        </w:tc>
        <w:tc>
          <w:tcPr>
            <w:tcW w:type="dxa" w:w="32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Variância não explicada atribuída a transporte passivo é interpretação, não medida</w:t>
            </w:r>
          </w:p>
        </w:tc>
        <w:tc>
          <w:tcPr>
            <w:tcW w:type="dxa" w:w="32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Rodar AEM/dbMEM com coordenadas e rede de drenagem</w:t>
            </w:r>
          </w:p>
        </w:tc>
      </w:tr>
      <w:tr>
        <w:trPr>
          <w:tblHeader w:val="false"/>
        </w:trPr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pPr>
        <w:pStyle w:val="Heading2"/>
      </w:pPr>
      <w:r>
        <w:t xml:space="preserve">13.3 Métricas para monitoramento contínuo</w:t>
      </w:r>
    </w:p>
    <w:p>
      <w:pPr>
        <w:pStyle w:val="Heading2"/>
      </w:pPr>
      <w:r>
        <w:t xml:space="preserve">13.4 Recomendações operacionais para a captação e a ETA</w:t>
      </w:r>
    </w:p>
    <w:p>
      <w:pPr>
        <w:pStyle w:val="Heading2"/>
      </w:pPr>
      <w:r>
        <w:t xml:space="preserve">13.5 Prioridades para campanhas futuras</w:t>
      </w:r>
    </w:p>
    <w:p>
      <w:r>
        <w:br w:type="page"/>
      </w:r>
    </w:p>
    <w:p>
      <w:pPr>
        <w:pStyle w:val="Heading1"/>
      </w:pPr>
      <w:r>
        <w:t xml:space="preserve">Referências</w:t>
      </w:r>
    </w:p>
    <w:p>
      <w:pPr>
        <w:spacing w:after="120"/>
      </w:pPr>
      <w:r>
        <w:rPr>
          <w:i/>
          <w:iCs/>
          <w:color w:val="C00000"/>
        </w:rPr>
        <w:t xml:space="preserve">[ABNT NBR 6023:2018; citações autor-data NBR 10520:2023. Cada citação do texto precisa estar aqui e vice-versa — confira com a seção 7 do diagnóstico]</w:t>
      </w:r>
    </w:p>
    <w:p>
      <w:pPr>
        <w:pStyle w:val="Heading1"/>
      </w:pPr>
      <w:r>
        <w:t xml:space="preserve">Apêndice A — Rastreabilidade figura → script → dados</w:t>
      </w:r>
    </w:p>
    <w:p>
      <w:pPr>
        <w:pStyle w:val="Legenda"/>
        <w:keepNext/>
      </w:pPr>
      <w:r>
        <w:rPr>
          <w:b/>
          <w:bCs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b/>
          <w:bCs/>
        </w:rPr>
        <w:t xml:space="preserve"> – </w:t>
      </w:r>
      <w:r>
        <w:t xml:space="preserve">Rastreabilidade das figuras e tabelas</w:t>
      </w:r>
    </w:p>
    <w:tbl>
      <w:tblPr>
        <w:tblW w:type="dxa" w:w="9071"/>
        <w:tblBorders>
          <w:top w:val="single" w:color="808080" w:sz="4"/>
          <w:left w:val="none" w:color="FFFFFF" w:sz="0"/>
          <w:bottom w:val="single" w:color="80808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492"/>
        <w:gridCol w:w="2526"/>
        <w:gridCol w:w="2526"/>
        <w:gridCol w:w="2527"/>
      </w:tblGrid>
      <w:tr>
        <w:trPr>
          <w:tblHeader/>
        </w:trPr>
        <w:tc>
          <w:tcPr>
            <w:tcW w:type="dxa" w:w="1492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Figura/Tabela</w:t>
            </w:r>
          </w:p>
        </w:tc>
        <w:tc>
          <w:tcPr>
            <w:tcW w:type="dxa" w:w="2526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Script (linha)</w:t>
            </w:r>
          </w:p>
        </w:tc>
        <w:tc>
          <w:tcPr>
            <w:tcW w:type="dxa" w:w="2526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Arquivo de dados de entrada</w:t>
            </w:r>
          </w:p>
        </w:tc>
        <w:tc>
          <w:tcPr>
            <w:tcW w:type="dxa" w:w="2527"/>
            <w:tcBorders>
              <w:top w:val="single" w:color="808080" w:sz="4"/>
              <w:left w:val="none" w:color="FFFFFF" w:sz="0"/>
              <w:bottom w:val="single" w:color="808080" w:sz="4"/>
              <w:right w:val="none" w:color="FFFFFF" w:sz="0"/>
            </w:tcBorders>
            <w:shd w:fill="E7EE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Arquivo de resultado</w:t>
            </w:r>
          </w:p>
        </w:tc>
      </w:tr>
      <w:tr>
        <w:trPr>
          <w:tblHeader w:val="false"/>
        </w:trPr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Fonte"/>
      </w:pPr>
      <w:r>
        <w:t xml:space="preserve">Fonte: elaborado pelos autores (2026).</w:t>
      </w:r>
    </w:p>
    <w:p>
      <w:pPr>
        <w:pStyle w:val="Heading1"/>
      </w:pPr>
      <w:r>
        <w:t xml:space="preserve">Apêndice B — Ambiente computacional</w:t>
      </w:r>
    </w:p>
    <w:p>
      <w:pPr>
        <w:spacing w:after="120"/>
      </w:pPr>
      <w:r>
        <w:rPr>
          <w:i/>
          <w:iCs/>
          <w:color w:val="C00000"/>
        </w:rPr>
        <w:t xml:space="preserve">[Colar a saída de sessionInfo() do R (versão do R e dos pacotes)]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24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Legenda">
    <w:name w:val="Legenda"/>
    <w:basedOn w:val="Normal"/>
    <w:next w:val="Normal"/>
    <w:pPr>
      <w:spacing w:after="60" w:before="240"/>
      <w:jc w:val="both"/>
    </w:pPr>
    <w:rPr>
      <w:rFonts w:ascii="Arial" w:cs="Arial" w:eastAsia="Arial" w:hAnsi="Arial"/>
      <w:sz w:val="20"/>
      <w:szCs w:val="20"/>
    </w:rPr>
  </w:style>
  <w:style w:type="paragraph" w:styleId="Fonte">
    <w:name w:val="Fonte"/>
    <w:basedOn w:val="Normal"/>
    <w:next w:val="Normal"/>
    <w:pPr>
      <w:spacing w:after="240" w:before="60"/>
    </w:pPr>
    <w:rPr>
      <w:rFonts w:ascii="Arial" w:cs="Arial" w:eastAsia="Arial" w:hAnsi="Arial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Ambiental — Fitoplâncton LJS</dc:title>
  <cp:lastModifiedBy>Un-named</cp:lastModifiedBy>
  <cp:revision>1</cp:revision>
  <dcterms:created xsi:type="dcterms:W3CDTF">2026-10-10T19:11:04.472Z</dcterms:created>
  <dcterms:modified xsi:type="dcterms:W3CDTF">2026-10-10T19:11:04.472Z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