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Look w:val="04A0" w:firstRow="1" w:lastRow="0" w:firstColumn="1" w:lastColumn="0" w:noHBand="0" w:noVBand="1"/>
      </w:tblPr>
      <w:tblGrid>
        <w:gridCol w:w="2942"/>
        <w:gridCol w:w="6651"/>
        <w:gridCol w:w="3357"/>
      </w:tblGrid>
      <w:tr w:rsidR="002E45FA" w14:paraId="767E1193" w14:textId="058FEE64" w:rsidTr="0065464A">
        <w:tc>
          <w:tcPr>
            <w:tcW w:w="1136" w:type="pct"/>
          </w:tcPr>
          <w:p w14:paraId="7A3E22F0" w14:textId="36DE08C7" w:rsidR="004F3565" w:rsidRDefault="004F3565">
            <w:r>
              <w:t>Paper</w:t>
            </w:r>
          </w:p>
        </w:tc>
        <w:tc>
          <w:tcPr>
            <w:tcW w:w="2568" w:type="pct"/>
          </w:tcPr>
          <w:p w14:paraId="3CCF445A" w14:textId="44F43545" w:rsidR="004F3565" w:rsidRDefault="004F3565">
            <w:r>
              <w:t>Methodologies</w:t>
            </w:r>
          </w:p>
        </w:tc>
        <w:tc>
          <w:tcPr>
            <w:tcW w:w="1296" w:type="pct"/>
          </w:tcPr>
          <w:p w14:paraId="7DB9316A" w14:textId="663939F2" w:rsidR="004F3565" w:rsidRDefault="004F3565">
            <w:r>
              <w:t>Takeaways</w:t>
            </w:r>
          </w:p>
        </w:tc>
      </w:tr>
      <w:tr w:rsidR="002E45FA" w14:paraId="5A0CA1DE" w14:textId="405557EC" w:rsidTr="0065464A">
        <w:tc>
          <w:tcPr>
            <w:tcW w:w="1136" w:type="pct"/>
          </w:tcPr>
          <w:p w14:paraId="7C9AA1D1" w14:textId="77777777" w:rsidR="00BD3803" w:rsidRPr="00153243" w:rsidRDefault="00BD3803" w:rsidP="00BD3803">
            <w:pPr>
              <w:pStyle w:val="NormalWeb"/>
              <w:rPr>
                <w:b/>
                <w:bCs/>
              </w:rPr>
            </w:pPr>
            <w:r w:rsidRPr="00153243">
              <w:rPr>
                <w:rFonts w:ascii="CharisSIL" w:hAnsi="CharisSIL"/>
                <w:b/>
                <w:bCs/>
                <w:sz w:val="26"/>
                <w:szCs w:val="26"/>
              </w:rPr>
              <w:t xml:space="preserve">High impact prioritization of bikeshare program investment to improve disadvantaged communities' access to jobs and essential services </w:t>
            </w:r>
          </w:p>
          <w:p w14:paraId="70271C61" w14:textId="1E23320C" w:rsidR="004F3565" w:rsidRDefault="000A739C">
            <w:r>
              <w:t>Chicago, Philadelphia</w:t>
            </w:r>
          </w:p>
        </w:tc>
        <w:tc>
          <w:tcPr>
            <w:tcW w:w="2568" w:type="pct"/>
          </w:tcPr>
          <w:p w14:paraId="47765200" w14:textId="77777777" w:rsidR="004F3565" w:rsidRDefault="00054529" w:rsidP="00054529">
            <w:pPr>
              <w:pStyle w:val="ListParagraph"/>
              <w:numPr>
                <w:ilvl w:val="0"/>
                <w:numId w:val="3"/>
              </w:numPr>
            </w:pPr>
            <w:r>
              <w:t>Disadvantaged census tracts =</w:t>
            </w:r>
          </w:p>
          <w:p w14:paraId="34170C61" w14:textId="77777777" w:rsidR="00054529" w:rsidRDefault="00054529" w:rsidP="00054529">
            <w:pPr>
              <w:pStyle w:val="ListParagraph"/>
              <w:numPr>
                <w:ilvl w:val="1"/>
                <w:numId w:val="3"/>
              </w:numPr>
            </w:pPr>
            <w:r>
              <w:t>Median household income</w:t>
            </w:r>
          </w:p>
          <w:p w14:paraId="774BD128" w14:textId="2749341E" w:rsidR="00054529" w:rsidRDefault="00054529" w:rsidP="00054529">
            <w:pPr>
              <w:pStyle w:val="ListParagraph"/>
              <w:numPr>
                <w:ilvl w:val="1"/>
                <w:numId w:val="3"/>
              </w:numPr>
            </w:pPr>
            <w:r>
              <w:t xml:space="preserve">% </w:t>
            </w:r>
            <w:proofErr w:type="gramStart"/>
            <w:r>
              <w:t>minority</w:t>
            </w:r>
            <w:proofErr w:type="gramEnd"/>
            <w:r>
              <w:t xml:space="preserve"> population</w:t>
            </w:r>
            <w:r w:rsidR="00AE365E">
              <w:t xml:space="preserve"> (High, moderate, low thresholds)</w:t>
            </w:r>
          </w:p>
          <w:p w14:paraId="74A2D035" w14:textId="72DFEDDB" w:rsidR="00054529" w:rsidRDefault="00054529" w:rsidP="00054529">
            <w:pPr>
              <w:pStyle w:val="ListParagraph"/>
              <w:numPr>
                <w:ilvl w:val="1"/>
                <w:numId w:val="3"/>
              </w:numPr>
            </w:pPr>
            <w:r>
              <w:t xml:space="preserve">% </w:t>
            </w:r>
            <w:proofErr w:type="gramStart"/>
            <w:r>
              <w:t>households</w:t>
            </w:r>
            <w:proofErr w:type="gramEnd"/>
            <w:r>
              <w:t xml:space="preserve"> owning 0-1 vehicles</w:t>
            </w:r>
            <w:r w:rsidR="00AE365E">
              <w:t xml:space="preserve"> (High, moderate, low thresholds)</w:t>
            </w:r>
          </w:p>
          <w:p w14:paraId="54D1CA1C" w14:textId="77777777" w:rsidR="002B1769" w:rsidRDefault="002B1769" w:rsidP="002B1769">
            <w:pPr>
              <w:pStyle w:val="ListParagraph"/>
              <w:numPr>
                <w:ilvl w:val="0"/>
                <w:numId w:val="3"/>
              </w:numPr>
            </w:pPr>
            <w:r>
              <w:t>Bike infrastructure from OpenStreetMap and local government data portals (length within each block group/block group area)</w:t>
            </w:r>
            <w:r w:rsidR="00AE365E">
              <w:t xml:space="preserve"> (High, moderate, low thresholds)</w:t>
            </w:r>
          </w:p>
          <w:p w14:paraId="4347EEF4" w14:textId="77777777" w:rsidR="00AE365E" w:rsidRDefault="00615022" w:rsidP="002B1769">
            <w:pPr>
              <w:pStyle w:val="ListParagraph"/>
              <w:numPr>
                <w:ilvl w:val="0"/>
                <w:numId w:val="3"/>
              </w:numPr>
            </w:pPr>
            <w:r>
              <w:t>Jobs data from LEHD database</w:t>
            </w:r>
          </w:p>
          <w:p w14:paraId="0A25DBAC" w14:textId="0757211C" w:rsidR="00615022" w:rsidRDefault="00615022" w:rsidP="00615022">
            <w:pPr>
              <w:pStyle w:val="ListParagraph"/>
              <w:numPr>
                <w:ilvl w:val="1"/>
                <w:numId w:val="3"/>
              </w:numPr>
            </w:pPr>
            <w:r>
              <w:t>Low-wage jobs ($3333/month or less)</w:t>
            </w:r>
          </w:p>
          <w:p w14:paraId="349DDC34" w14:textId="6DD7F323" w:rsidR="00311A24" w:rsidRDefault="00311A24" w:rsidP="00615022">
            <w:pPr>
              <w:pStyle w:val="ListParagraph"/>
              <w:numPr>
                <w:ilvl w:val="1"/>
                <w:numId w:val="3"/>
              </w:numPr>
            </w:pPr>
            <w:r>
              <w:t>Transit stations</w:t>
            </w:r>
          </w:p>
          <w:p w14:paraId="20C70D5C" w14:textId="77777777" w:rsidR="00615022" w:rsidRDefault="00615022" w:rsidP="00615022">
            <w:pPr>
              <w:pStyle w:val="ListParagraph"/>
              <w:numPr>
                <w:ilvl w:val="1"/>
                <w:numId w:val="3"/>
              </w:numPr>
            </w:pPr>
            <w:r>
              <w:t>Grocery stores</w:t>
            </w:r>
          </w:p>
          <w:p w14:paraId="2B6DAC15" w14:textId="77777777" w:rsidR="00615022" w:rsidRDefault="00615022" w:rsidP="00615022">
            <w:pPr>
              <w:pStyle w:val="ListParagraph"/>
              <w:numPr>
                <w:ilvl w:val="1"/>
                <w:numId w:val="3"/>
              </w:numPr>
            </w:pPr>
            <w:r>
              <w:t>Hospitals</w:t>
            </w:r>
          </w:p>
          <w:p w14:paraId="3ACD388C" w14:textId="77777777" w:rsidR="00615022" w:rsidRDefault="00615022" w:rsidP="00615022">
            <w:pPr>
              <w:pStyle w:val="ListParagraph"/>
              <w:numPr>
                <w:ilvl w:val="1"/>
                <w:numId w:val="3"/>
              </w:numPr>
            </w:pPr>
            <w:r>
              <w:t>Schools</w:t>
            </w:r>
          </w:p>
          <w:p w14:paraId="4BA4A49C" w14:textId="77777777" w:rsidR="00F62D6E" w:rsidRDefault="00F62D6E" w:rsidP="00615022">
            <w:pPr>
              <w:pStyle w:val="ListParagraph"/>
              <w:numPr>
                <w:ilvl w:val="1"/>
                <w:numId w:val="3"/>
              </w:numPr>
            </w:pPr>
            <w:r>
              <w:t xml:space="preserve">Used google maps API for two scenarios: walking and transit only, then assuming </w:t>
            </w:r>
            <w:r w:rsidR="00FF2E11">
              <w:t xml:space="preserve">immediate </w:t>
            </w:r>
            <w:r>
              <w:t>access to bikeshare</w:t>
            </w:r>
            <w:r w:rsidR="00FF2E11">
              <w:t xml:space="preserve">. Calculated travel times </w:t>
            </w:r>
            <w:r w:rsidR="00311A24">
              <w:t xml:space="preserve">using standard walking, biking speeds and GTFS data. </w:t>
            </w:r>
            <w:r w:rsidR="00311A24">
              <w:rPr>
                <w:noProof/>
              </w:rPr>
              <w:drawing>
                <wp:inline distT="0" distB="0" distL="0" distR="0" wp14:anchorId="7B3CEAD7" wp14:editId="2AC29CCF">
                  <wp:extent cx="1965931" cy="777121"/>
                  <wp:effectExtent l="0" t="0" r="317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06973" cy="793345"/>
                          </a:xfrm>
                          <a:prstGeom prst="rect">
                            <a:avLst/>
                          </a:prstGeom>
                        </pic:spPr>
                      </pic:pic>
                    </a:graphicData>
                  </a:graphic>
                </wp:inline>
              </w:drawing>
            </w:r>
          </w:p>
          <w:p w14:paraId="41ADE086" w14:textId="77777777" w:rsidR="00924C52" w:rsidRDefault="00924C52" w:rsidP="00924C52">
            <w:pPr>
              <w:pStyle w:val="ListParagraph"/>
              <w:ind w:left="1440"/>
            </w:pPr>
            <w:r>
              <w:t>Note: different weight factors assigned to different opportunities O based on percentages of trip purpose from survey results.</w:t>
            </w:r>
          </w:p>
          <w:p w14:paraId="60D47679" w14:textId="5777D234" w:rsidR="00B47BA4" w:rsidRDefault="00924C52" w:rsidP="00B47BA4">
            <w:pPr>
              <w:pStyle w:val="ListParagraph"/>
              <w:numPr>
                <w:ilvl w:val="0"/>
                <w:numId w:val="4"/>
              </w:numPr>
            </w:pPr>
            <w:r>
              <w:t>Improvement in accessibility reported (high, moderate, and low</w:t>
            </w:r>
            <w:r w:rsidR="00B47BA4">
              <w:t>)</w:t>
            </w:r>
            <w:r w:rsidR="00686A46">
              <w:t xml:space="preserve">. Graphed sensitivity of this for </w:t>
            </w:r>
            <w:r w:rsidR="00F8701C">
              <w:t>both disadvantaged and other</w:t>
            </w:r>
            <w:r w:rsidR="00686A46">
              <w:t xml:space="preserve"> areas with respect to max travel time and beta.</w:t>
            </w:r>
          </w:p>
          <w:p w14:paraId="2778A2DC" w14:textId="26B0C7F6" w:rsidR="00B47BA4" w:rsidRDefault="00B47BA4" w:rsidP="00B47BA4">
            <w:r>
              <w:lastRenderedPageBreak/>
              <w:t>-Categories A-D created based on</w:t>
            </w:r>
            <w:r w:rsidR="002E45FA">
              <w:t xml:space="preserve"> combinations of</w:t>
            </w:r>
            <w:r>
              <w:t xml:space="preserve"> quantiles of disadvantaged areas, level of bike infrastructure, and potential for increased job/essential service access</w:t>
            </w:r>
            <w:r w:rsidR="002E45FA">
              <w:rPr>
                <w:noProof/>
              </w:rPr>
              <w:drawing>
                <wp:inline distT="0" distB="0" distL="0" distR="0" wp14:anchorId="1F81CBA8" wp14:editId="2267AECE">
                  <wp:extent cx="3361133" cy="1404063"/>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82562" cy="1413014"/>
                          </a:xfrm>
                          <a:prstGeom prst="rect">
                            <a:avLst/>
                          </a:prstGeom>
                        </pic:spPr>
                      </pic:pic>
                    </a:graphicData>
                  </a:graphic>
                </wp:inline>
              </w:drawing>
            </w:r>
          </w:p>
        </w:tc>
        <w:tc>
          <w:tcPr>
            <w:tcW w:w="1296" w:type="pct"/>
          </w:tcPr>
          <w:p w14:paraId="526FCA99" w14:textId="77777777" w:rsidR="004F3565" w:rsidRDefault="00AF0F8E" w:rsidP="00AF0F8E">
            <w:r>
              <w:lastRenderedPageBreak/>
              <w:t>-</w:t>
            </w:r>
            <w:r w:rsidR="00CA7CB2">
              <w:t>Areas of high priority for bikeshare stations, with analysis of existing bikeshare station locations in relation to identified disadvantaged census tracks to illustrate how this framework is different from others, and how service could improve for disadvantaged tracts</w:t>
            </w:r>
          </w:p>
          <w:p w14:paraId="4026138B" w14:textId="77777777" w:rsidR="007C618F" w:rsidRDefault="007C618F" w:rsidP="00AF0F8E"/>
          <w:p w14:paraId="1B8EE781" w14:textId="77777777" w:rsidR="007C618F" w:rsidRDefault="007C618F" w:rsidP="00AF0F8E"/>
          <w:p w14:paraId="371ABAB4" w14:textId="77777777" w:rsidR="007C618F" w:rsidRDefault="007C618F" w:rsidP="00AF0F8E"/>
          <w:p w14:paraId="007627B1" w14:textId="3A04A882" w:rsidR="007C618F" w:rsidRDefault="007C618F" w:rsidP="00AF0F8E">
            <w:r>
              <w:t xml:space="preserve">-limitations/potential improvements: with more info about traffic demand and transport mode split in disadvantaged areas, could have precise number of bike </w:t>
            </w:r>
            <w:proofErr w:type="gramStart"/>
            <w:r>
              <w:t>trips</w:t>
            </w:r>
            <w:proofErr w:type="gramEnd"/>
            <w:r>
              <w:t xml:space="preserve"> and created a more nuanced model for accurate estimation of accessibility</w:t>
            </w:r>
          </w:p>
          <w:p w14:paraId="6FE68D5E" w14:textId="77777777" w:rsidR="007C618F" w:rsidRDefault="007C618F" w:rsidP="00AF0F8E">
            <w:r>
              <w:t>-Travel times averaged across block in accessibility analysis, only offer an approximate travel time between every block group pair</w:t>
            </w:r>
          </w:p>
          <w:p w14:paraId="4492CABE" w14:textId="77777777" w:rsidR="007C618F" w:rsidRDefault="007C618F" w:rsidP="00AF0F8E">
            <w:r>
              <w:t xml:space="preserve">-travel cost of access was not considered, but should be as it </w:t>
            </w:r>
            <w:r>
              <w:lastRenderedPageBreak/>
              <w:t>is an essential factor of concern for disadvantaged populations</w:t>
            </w:r>
          </w:p>
          <w:p w14:paraId="251ADDF7" w14:textId="03B95B87" w:rsidR="007C618F" w:rsidRDefault="007C618F" w:rsidP="00AF0F8E">
            <w:r>
              <w:t xml:space="preserve">-doesn’t </w:t>
            </w:r>
            <w:proofErr w:type="gramStart"/>
            <w:r>
              <w:t>take into account</w:t>
            </w:r>
            <w:proofErr w:type="gramEnd"/>
            <w:r>
              <w:t xml:space="preserve"> </w:t>
            </w:r>
            <w:proofErr w:type="spellStart"/>
            <w:r>
              <w:t>dockless</w:t>
            </w:r>
            <w:proofErr w:type="spellEnd"/>
          </w:p>
        </w:tc>
      </w:tr>
      <w:tr w:rsidR="002E45FA" w14:paraId="7C910824" w14:textId="0033E6AC" w:rsidTr="0065464A">
        <w:tc>
          <w:tcPr>
            <w:tcW w:w="1136" w:type="pct"/>
          </w:tcPr>
          <w:p w14:paraId="736B0FD4" w14:textId="77777777" w:rsidR="00267881" w:rsidRDefault="00267881" w:rsidP="00267881">
            <w:r>
              <w:lastRenderedPageBreak/>
              <w:t>Spatial Equity of Micromobility Systems: A Comparison of Shared E-scooters and</w:t>
            </w:r>
          </w:p>
          <w:p w14:paraId="6B823AEC" w14:textId="6D4B349E" w:rsidR="004F3565" w:rsidRDefault="00267881" w:rsidP="00267881">
            <w:r>
              <w:t>Docked Bikeshare in Washington DC</w:t>
            </w:r>
          </w:p>
        </w:tc>
        <w:tc>
          <w:tcPr>
            <w:tcW w:w="2568" w:type="pct"/>
          </w:tcPr>
          <w:p w14:paraId="4C0671D0" w14:textId="7304129F" w:rsidR="004F3565" w:rsidRDefault="00267881" w:rsidP="00267881">
            <w:pPr>
              <w:pStyle w:val="ListParagraph"/>
              <w:numPr>
                <w:ilvl w:val="0"/>
                <w:numId w:val="4"/>
              </w:numPr>
            </w:pPr>
            <w:r>
              <w:t>“Equity Emphasis Area” status determined by income levels, racial and ethnic compositions as determined by National Capital Region Transportation Planning Board</w:t>
            </w:r>
          </w:p>
          <w:p w14:paraId="70B5B8E0" w14:textId="77777777" w:rsidR="00267881" w:rsidRDefault="00267881" w:rsidP="00267881">
            <w:pPr>
              <w:pStyle w:val="ListParagraph"/>
              <w:numPr>
                <w:ilvl w:val="1"/>
                <w:numId w:val="4"/>
              </w:numPr>
            </w:pPr>
            <w:r>
              <w:t>Quartiles of household median income, identified as “low income” as bottom quartile</w:t>
            </w:r>
            <w:proofErr w:type="gramStart"/>
            <w:r>
              <w:t>, ”middle</w:t>
            </w:r>
            <w:proofErr w:type="gramEnd"/>
            <w:r>
              <w:t xml:space="preserve"> income”, and “high income” as top quartile</w:t>
            </w:r>
          </w:p>
          <w:p w14:paraId="2C551EFF" w14:textId="77777777" w:rsidR="00267881" w:rsidRDefault="00267881" w:rsidP="00267881">
            <w:pPr>
              <w:pStyle w:val="ListParagraph"/>
              <w:numPr>
                <w:ilvl w:val="1"/>
                <w:numId w:val="4"/>
              </w:numPr>
            </w:pPr>
            <w:r>
              <w:t>More than 50% residents of a specific single race as “X-majority” block groups, otherwise “No Majority”</w:t>
            </w:r>
          </w:p>
          <w:p w14:paraId="697C492E" w14:textId="1563FB43" w:rsidR="00267881" w:rsidRDefault="00267881" w:rsidP="00267881">
            <w:pPr>
              <w:pStyle w:val="ListParagraph"/>
              <w:numPr>
                <w:ilvl w:val="0"/>
                <w:numId w:val="4"/>
              </w:numPr>
            </w:pPr>
            <w:r>
              <w:t>Used GBFS data, Xu et al. trip inference algorithms and Capital Bikeshare System Data</w:t>
            </w:r>
            <w:r w:rsidR="0032789C">
              <w:t xml:space="preserve"> used to calculate Availability (no. daily available bikes)</w:t>
            </w:r>
          </w:p>
          <w:p w14:paraId="67BA0A94" w14:textId="4071C163" w:rsidR="00267881" w:rsidRDefault="0032789C" w:rsidP="00267881">
            <w:pPr>
              <w:pStyle w:val="ListParagraph"/>
              <w:numPr>
                <w:ilvl w:val="0"/>
                <w:numId w:val="4"/>
              </w:numPr>
            </w:pPr>
            <w:r>
              <w:t>LEHD O-D Employment Statistics aggregated to the block group level were used to calculate Accessibility, measured by kernel density (predefined search radius distance, highest values on top of the bike station, smooth curve as approaching search radius)</w:t>
            </w:r>
          </w:p>
          <w:p w14:paraId="7E1B68D1" w14:textId="58E60AB3" w:rsidR="0032789C" w:rsidRDefault="0032789C" w:rsidP="0032789C">
            <w:pPr>
              <w:pStyle w:val="ListParagraph"/>
              <w:ind w:left="1440"/>
            </w:pPr>
          </w:p>
        </w:tc>
        <w:tc>
          <w:tcPr>
            <w:tcW w:w="1296" w:type="pct"/>
          </w:tcPr>
          <w:p w14:paraId="6224FC58" w14:textId="77777777" w:rsidR="004F3565" w:rsidRDefault="004F3565"/>
        </w:tc>
      </w:tr>
      <w:tr w:rsidR="002E45FA" w14:paraId="0D5D9F58" w14:textId="3FF1AE16" w:rsidTr="0065464A">
        <w:tc>
          <w:tcPr>
            <w:tcW w:w="1136" w:type="pct"/>
          </w:tcPr>
          <w:p w14:paraId="62F254C5" w14:textId="77777777" w:rsidR="004F3565" w:rsidRDefault="004F3565"/>
        </w:tc>
        <w:tc>
          <w:tcPr>
            <w:tcW w:w="2568" w:type="pct"/>
          </w:tcPr>
          <w:p w14:paraId="05AB07F9" w14:textId="77777777" w:rsidR="004F3565" w:rsidRDefault="004F3565"/>
        </w:tc>
        <w:tc>
          <w:tcPr>
            <w:tcW w:w="1296" w:type="pct"/>
          </w:tcPr>
          <w:p w14:paraId="35B05C5B" w14:textId="77777777" w:rsidR="004F3565" w:rsidRDefault="004F3565"/>
        </w:tc>
      </w:tr>
    </w:tbl>
    <w:p w14:paraId="28D19F3E" w14:textId="77777777" w:rsidR="00692C11" w:rsidRDefault="00692C11"/>
    <w:sectPr w:rsidR="00692C11" w:rsidSect="0065464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harisSIL">
    <w:altName w:val="Cambria"/>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91453"/>
    <w:multiLevelType w:val="hybridMultilevel"/>
    <w:tmpl w:val="26CCE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5A5B51"/>
    <w:multiLevelType w:val="hybridMultilevel"/>
    <w:tmpl w:val="D786C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7E68F8"/>
    <w:multiLevelType w:val="hybridMultilevel"/>
    <w:tmpl w:val="C0E838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7641857"/>
    <w:multiLevelType w:val="hybridMultilevel"/>
    <w:tmpl w:val="93AEF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746C8D8">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7742388">
    <w:abstractNumId w:val="1"/>
  </w:num>
  <w:num w:numId="2" w16cid:durableId="2006862590">
    <w:abstractNumId w:val="0"/>
  </w:num>
  <w:num w:numId="3" w16cid:durableId="2096852375">
    <w:abstractNumId w:val="3"/>
  </w:num>
  <w:num w:numId="4" w16cid:durableId="12632199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565"/>
    <w:rsid w:val="00020C0A"/>
    <w:rsid w:val="0003051A"/>
    <w:rsid w:val="00054529"/>
    <w:rsid w:val="000550A7"/>
    <w:rsid w:val="00056734"/>
    <w:rsid w:val="00073480"/>
    <w:rsid w:val="000A28F8"/>
    <w:rsid w:val="000A739C"/>
    <w:rsid w:val="000B52DD"/>
    <w:rsid w:val="000C1D82"/>
    <w:rsid w:val="000E1360"/>
    <w:rsid w:val="000F369D"/>
    <w:rsid w:val="001154C9"/>
    <w:rsid w:val="00116B24"/>
    <w:rsid w:val="00135EC1"/>
    <w:rsid w:val="00153243"/>
    <w:rsid w:val="0017448F"/>
    <w:rsid w:val="001E0AE7"/>
    <w:rsid w:val="00213307"/>
    <w:rsid w:val="0023404F"/>
    <w:rsid w:val="002644B2"/>
    <w:rsid w:val="00267881"/>
    <w:rsid w:val="002B1769"/>
    <w:rsid w:val="002B4453"/>
    <w:rsid w:val="002C2C0E"/>
    <w:rsid w:val="002C5216"/>
    <w:rsid w:val="002E45FA"/>
    <w:rsid w:val="00305FC7"/>
    <w:rsid w:val="00311A24"/>
    <w:rsid w:val="0032789C"/>
    <w:rsid w:val="00370E71"/>
    <w:rsid w:val="00371576"/>
    <w:rsid w:val="00377385"/>
    <w:rsid w:val="003C05AB"/>
    <w:rsid w:val="003D4E8D"/>
    <w:rsid w:val="004435B9"/>
    <w:rsid w:val="00460639"/>
    <w:rsid w:val="00462FF5"/>
    <w:rsid w:val="00466AE5"/>
    <w:rsid w:val="004744F2"/>
    <w:rsid w:val="004915EA"/>
    <w:rsid w:val="004B0F3D"/>
    <w:rsid w:val="004D502F"/>
    <w:rsid w:val="004F3565"/>
    <w:rsid w:val="004F64CF"/>
    <w:rsid w:val="004F7AF7"/>
    <w:rsid w:val="00510885"/>
    <w:rsid w:val="00540EF3"/>
    <w:rsid w:val="00574328"/>
    <w:rsid w:val="00586FFB"/>
    <w:rsid w:val="005A27DA"/>
    <w:rsid w:val="005C3531"/>
    <w:rsid w:val="00615022"/>
    <w:rsid w:val="006264F1"/>
    <w:rsid w:val="006361FF"/>
    <w:rsid w:val="0065464A"/>
    <w:rsid w:val="00663FD5"/>
    <w:rsid w:val="00680F3F"/>
    <w:rsid w:val="00686A46"/>
    <w:rsid w:val="00692C11"/>
    <w:rsid w:val="00695672"/>
    <w:rsid w:val="006D2EF7"/>
    <w:rsid w:val="0070062B"/>
    <w:rsid w:val="00746931"/>
    <w:rsid w:val="00784F05"/>
    <w:rsid w:val="007A563C"/>
    <w:rsid w:val="007C618F"/>
    <w:rsid w:val="00830641"/>
    <w:rsid w:val="00855018"/>
    <w:rsid w:val="00855EEC"/>
    <w:rsid w:val="00862463"/>
    <w:rsid w:val="00880244"/>
    <w:rsid w:val="00896C66"/>
    <w:rsid w:val="008E665E"/>
    <w:rsid w:val="008F4884"/>
    <w:rsid w:val="00924C52"/>
    <w:rsid w:val="00956722"/>
    <w:rsid w:val="009E1C45"/>
    <w:rsid w:val="009F1E52"/>
    <w:rsid w:val="009F4138"/>
    <w:rsid w:val="00A0526C"/>
    <w:rsid w:val="00A15253"/>
    <w:rsid w:val="00A17CE4"/>
    <w:rsid w:val="00A5671B"/>
    <w:rsid w:val="00A62308"/>
    <w:rsid w:val="00AA6C7A"/>
    <w:rsid w:val="00AB0347"/>
    <w:rsid w:val="00AD3C34"/>
    <w:rsid w:val="00AE365E"/>
    <w:rsid w:val="00AE52E0"/>
    <w:rsid w:val="00AF0F8E"/>
    <w:rsid w:val="00B33000"/>
    <w:rsid w:val="00B47BA4"/>
    <w:rsid w:val="00B51B80"/>
    <w:rsid w:val="00B54A46"/>
    <w:rsid w:val="00B74299"/>
    <w:rsid w:val="00B777EA"/>
    <w:rsid w:val="00B952C6"/>
    <w:rsid w:val="00BB28A6"/>
    <w:rsid w:val="00BD3803"/>
    <w:rsid w:val="00BD4F9A"/>
    <w:rsid w:val="00BD65CA"/>
    <w:rsid w:val="00C0731B"/>
    <w:rsid w:val="00C426E8"/>
    <w:rsid w:val="00C46BFE"/>
    <w:rsid w:val="00C54771"/>
    <w:rsid w:val="00C933B1"/>
    <w:rsid w:val="00CA7CB2"/>
    <w:rsid w:val="00CE6087"/>
    <w:rsid w:val="00CF0BE9"/>
    <w:rsid w:val="00D42310"/>
    <w:rsid w:val="00D4438D"/>
    <w:rsid w:val="00D624F0"/>
    <w:rsid w:val="00E17A39"/>
    <w:rsid w:val="00E67D39"/>
    <w:rsid w:val="00E72E5F"/>
    <w:rsid w:val="00E94438"/>
    <w:rsid w:val="00EE709A"/>
    <w:rsid w:val="00F356FF"/>
    <w:rsid w:val="00F439BC"/>
    <w:rsid w:val="00F62D6E"/>
    <w:rsid w:val="00F8701C"/>
    <w:rsid w:val="00FA1BA7"/>
    <w:rsid w:val="00FA1FC1"/>
    <w:rsid w:val="00FE5071"/>
    <w:rsid w:val="00FF2E11"/>
    <w:rsid w:val="00FF2FCB"/>
    <w:rsid w:val="00FF3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825774"/>
  <w15:chartTrackingRefBased/>
  <w15:docId w15:val="{95CD15C2-8DA9-0445-A7C7-5E1173CFD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35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F356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F3565"/>
    <w:pPr>
      <w:ind w:left="720"/>
      <w:contextualSpacing/>
    </w:pPr>
  </w:style>
  <w:style w:type="character" w:styleId="CommentReference">
    <w:name w:val="annotation reference"/>
    <w:basedOn w:val="DefaultParagraphFont"/>
    <w:uiPriority w:val="99"/>
    <w:semiHidden/>
    <w:unhideWhenUsed/>
    <w:rsid w:val="00B33000"/>
    <w:rPr>
      <w:sz w:val="16"/>
      <w:szCs w:val="16"/>
    </w:rPr>
  </w:style>
  <w:style w:type="paragraph" w:styleId="CommentText">
    <w:name w:val="annotation text"/>
    <w:basedOn w:val="Normal"/>
    <w:link w:val="CommentTextChar"/>
    <w:uiPriority w:val="99"/>
    <w:semiHidden/>
    <w:unhideWhenUsed/>
    <w:rsid w:val="00B33000"/>
    <w:rPr>
      <w:sz w:val="20"/>
      <w:szCs w:val="20"/>
    </w:rPr>
  </w:style>
  <w:style w:type="character" w:customStyle="1" w:styleId="CommentTextChar">
    <w:name w:val="Comment Text Char"/>
    <w:basedOn w:val="DefaultParagraphFont"/>
    <w:link w:val="CommentText"/>
    <w:uiPriority w:val="99"/>
    <w:semiHidden/>
    <w:rsid w:val="00B33000"/>
    <w:rPr>
      <w:sz w:val="20"/>
      <w:szCs w:val="20"/>
    </w:rPr>
  </w:style>
  <w:style w:type="paragraph" w:styleId="CommentSubject">
    <w:name w:val="annotation subject"/>
    <w:basedOn w:val="CommentText"/>
    <w:next w:val="CommentText"/>
    <w:link w:val="CommentSubjectChar"/>
    <w:uiPriority w:val="99"/>
    <w:semiHidden/>
    <w:unhideWhenUsed/>
    <w:rsid w:val="00B33000"/>
    <w:rPr>
      <w:b/>
      <w:bCs/>
    </w:rPr>
  </w:style>
  <w:style w:type="character" w:customStyle="1" w:styleId="CommentSubjectChar">
    <w:name w:val="Comment Subject Char"/>
    <w:basedOn w:val="CommentTextChar"/>
    <w:link w:val="CommentSubject"/>
    <w:uiPriority w:val="99"/>
    <w:semiHidden/>
    <w:rsid w:val="00B330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12302">
      <w:bodyDiv w:val="1"/>
      <w:marLeft w:val="0"/>
      <w:marRight w:val="0"/>
      <w:marTop w:val="0"/>
      <w:marBottom w:val="0"/>
      <w:divBdr>
        <w:top w:val="none" w:sz="0" w:space="0" w:color="auto"/>
        <w:left w:val="none" w:sz="0" w:space="0" w:color="auto"/>
        <w:bottom w:val="none" w:sz="0" w:space="0" w:color="auto"/>
        <w:right w:val="none" w:sz="0" w:space="0" w:color="auto"/>
      </w:divBdr>
      <w:divsChild>
        <w:div w:id="338389297">
          <w:marLeft w:val="0"/>
          <w:marRight w:val="0"/>
          <w:marTop w:val="0"/>
          <w:marBottom w:val="0"/>
          <w:divBdr>
            <w:top w:val="none" w:sz="0" w:space="0" w:color="auto"/>
            <w:left w:val="none" w:sz="0" w:space="0" w:color="auto"/>
            <w:bottom w:val="none" w:sz="0" w:space="0" w:color="auto"/>
            <w:right w:val="none" w:sz="0" w:space="0" w:color="auto"/>
          </w:divBdr>
          <w:divsChild>
            <w:div w:id="236324548">
              <w:marLeft w:val="0"/>
              <w:marRight w:val="0"/>
              <w:marTop w:val="0"/>
              <w:marBottom w:val="0"/>
              <w:divBdr>
                <w:top w:val="none" w:sz="0" w:space="0" w:color="auto"/>
                <w:left w:val="none" w:sz="0" w:space="0" w:color="auto"/>
                <w:bottom w:val="none" w:sz="0" w:space="0" w:color="auto"/>
                <w:right w:val="none" w:sz="0" w:space="0" w:color="auto"/>
              </w:divBdr>
              <w:divsChild>
                <w:div w:id="2057005587">
                  <w:marLeft w:val="0"/>
                  <w:marRight w:val="0"/>
                  <w:marTop w:val="0"/>
                  <w:marBottom w:val="0"/>
                  <w:divBdr>
                    <w:top w:val="none" w:sz="0" w:space="0" w:color="auto"/>
                    <w:left w:val="none" w:sz="0" w:space="0" w:color="auto"/>
                    <w:bottom w:val="none" w:sz="0" w:space="0" w:color="auto"/>
                    <w:right w:val="none" w:sz="0" w:space="0" w:color="auto"/>
                  </w:divBdr>
                  <w:divsChild>
                    <w:div w:id="148323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224893">
      <w:bodyDiv w:val="1"/>
      <w:marLeft w:val="0"/>
      <w:marRight w:val="0"/>
      <w:marTop w:val="0"/>
      <w:marBottom w:val="0"/>
      <w:divBdr>
        <w:top w:val="none" w:sz="0" w:space="0" w:color="auto"/>
        <w:left w:val="none" w:sz="0" w:space="0" w:color="auto"/>
        <w:bottom w:val="none" w:sz="0" w:space="0" w:color="auto"/>
        <w:right w:val="none" w:sz="0" w:space="0" w:color="auto"/>
      </w:divBdr>
      <w:divsChild>
        <w:div w:id="1715615452">
          <w:marLeft w:val="0"/>
          <w:marRight w:val="0"/>
          <w:marTop w:val="0"/>
          <w:marBottom w:val="0"/>
          <w:divBdr>
            <w:top w:val="none" w:sz="0" w:space="0" w:color="auto"/>
            <w:left w:val="none" w:sz="0" w:space="0" w:color="auto"/>
            <w:bottom w:val="none" w:sz="0" w:space="0" w:color="auto"/>
            <w:right w:val="none" w:sz="0" w:space="0" w:color="auto"/>
          </w:divBdr>
          <w:divsChild>
            <w:div w:id="1775436489">
              <w:marLeft w:val="0"/>
              <w:marRight w:val="0"/>
              <w:marTop w:val="0"/>
              <w:marBottom w:val="0"/>
              <w:divBdr>
                <w:top w:val="none" w:sz="0" w:space="0" w:color="auto"/>
                <w:left w:val="none" w:sz="0" w:space="0" w:color="auto"/>
                <w:bottom w:val="none" w:sz="0" w:space="0" w:color="auto"/>
                <w:right w:val="none" w:sz="0" w:space="0" w:color="auto"/>
              </w:divBdr>
              <w:divsChild>
                <w:div w:id="138405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235956">
      <w:bodyDiv w:val="1"/>
      <w:marLeft w:val="0"/>
      <w:marRight w:val="0"/>
      <w:marTop w:val="0"/>
      <w:marBottom w:val="0"/>
      <w:divBdr>
        <w:top w:val="none" w:sz="0" w:space="0" w:color="auto"/>
        <w:left w:val="none" w:sz="0" w:space="0" w:color="auto"/>
        <w:bottom w:val="none" w:sz="0" w:space="0" w:color="auto"/>
        <w:right w:val="none" w:sz="0" w:space="0" w:color="auto"/>
      </w:divBdr>
      <w:divsChild>
        <w:div w:id="2115637667">
          <w:marLeft w:val="0"/>
          <w:marRight w:val="0"/>
          <w:marTop w:val="0"/>
          <w:marBottom w:val="0"/>
          <w:divBdr>
            <w:top w:val="none" w:sz="0" w:space="0" w:color="auto"/>
            <w:left w:val="none" w:sz="0" w:space="0" w:color="auto"/>
            <w:bottom w:val="none" w:sz="0" w:space="0" w:color="auto"/>
            <w:right w:val="none" w:sz="0" w:space="0" w:color="auto"/>
          </w:divBdr>
          <w:divsChild>
            <w:div w:id="1271544185">
              <w:marLeft w:val="0"/>
              <w:marRight w:val="0"/>
              <w:marTop w:val="0"/>
              <w:marBottom w:val="0"/>
              <w:divBdr>
                <w:top w:val="none" w:sz="0" w:space="0" w:color="auto"/>
                <w:left w:val="none" w:sz="0" w:space="0" w:color="auto"/>
                <w:bottom w:val="none" w:sz="0" w:space="0" w:color="auto"/>
                <w:right w:val="none" w:sz="0" w:space="0" w:color="auto"/>
              </w:divBdr>
              <w:divsChild>
                <w:div w:id="101627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468202">
      <w:bodyDiv w:val="1"/>
      <w:marLeft w:val="0"/>
      <w:marRight w:val="0"/>
      <w:marTop w:val="0"/>
      <w:marBottom w:val="0"/>
      <w:divBdr>
        <w:top w:val="none" w:sz="0" w:space="0" w:color="auto"/>
        <w:left w:val="none" w:sz="0" w:space="0" w:color="auto"/>
        <w:bottom w:val="none" w:sz="0" w:space="0" w:color="auto"/>
        <w:right w:val="none" w:sz="0" w:space="0" w:color="auto"/>
      </w:divBdr>
      <w:divsChild>
        <w:div w:id="1395471173">
          <w:marLeft w:val="0"/>
          <w:marRight w:val="0"/>
          <w:marTop w:val="0"/>
          <w:marBottom w:val="0"/>
          <w:divBdr>
            <w:top w:val="none" w:sz="0" w:space="0" w:color="auto"/>
            <w:left w:val="none" w:sz="0" w:space="0" w:color="auto"/>
            <w:bottom w:val="none" w:sz="0" w:space="0" w:color="auto"/>
            <w:right w:val="none" w:sz="0" w:space="0" w:color="auto"/>
          </w:divBdr>
          <w:divsChild>
            <w:div w:id="1819346433">
              <w:marLeft w:val="0"/>
              <w:marRight w:val="0"/>
              <w:marTop w:val="0"/>
              <w:marBottom w:val="0"/>
              <w:divBdr>
                <w:top w:val="none" w:sz="0" w:space="0" w:color="auto"/>
                <w:left w:val="none" w:sz="0" w:space="0" w:color="auto"/>
                <w:bottom w:val="none" w:sz="0" w:space="0" w:color="auto"/>
                <w:right w:val="none" w:sz="0" w:space="0" w:color="auto"/>
              </w:divBdr>
              <w:divsChild>
                <w:div w:id="185653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Debruin</dc:creator>
  <cp:keywords/>
  <dc:description/>
  <cp:lastModifiedBy>Hannah DeBruin</cp:lastModifiedBy>
  <cp:revision>115</cp:revision>
  <dcterms:created xsi:type="dcterms:W3CDTF">2022-11-14T19:54:00Z</dcterms:created>
  <dcterms:modified xsi:type="dcterms:W3CDTF">2023-02-07T15:38:00Z</dcterms:modified>
</cp:coreProperties>
</file>