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23165" w14:textId="3CB26F94" w:rsidR="00835E9B" w:rsidRPr="00C07874" w:rsidRDefault="00B0572B" w:rsidP="00835E9B">
      <w:pPr>
        <w:rPr>
          <w:b/>
          <w:bCs/>
          <w:sz w:val="28"/>
          <w:szCs w:val="28"/>
        </w:rPr>
      </w:pPr>
      <w:r w:rsidRPr="00C07874">
        <w:rPr>
          <w:b/>
          <w:bCs/>
          <w:sz w:val="28"/>
          <w:szCs w:val="28"/>
        </w:rPr>
        <w:t>Introduction</w:t>
      </w:r>
    </w:p>
    <w:p w14:paraId="3B190D3C" w14:textId="77777777" w:rsidR="00B0572B" w:rsidRDefault="00B0572B" w:rsidP="00835E9B">
      <w:pPr>
        <w:rPr>
          <w:b/>
          <w:bCs/>
        </w:rPr>
      </w:pPr>
    </w:p>
    <w:p w14:paraId="49DABC86" w14:textId="368B6280" w:rsidR="00B0572B" w:rsidRDefault="00C16AD8" w:rsidP="00835E9B">
      <w:r>
        <w:t>*</w:t>
      </w:r>
      <w:r w:rsidR="00C07874">
        <w:t>Bikeshare system benefits</w:t>
      </w:r>
      <w:r>
        <w:t xml:space="preserve">, state of practice, </w:t>
      </w:r>
      <w:proofErr w:type="spellStart"/>
      <w:r>
        <w:t>etc</w:t>
      </w:r>
      <w:proofErr w:type="spellEnd"/>
      <w:r>
        <w:t>*</w:t>
      </w:r>
    </w:p>
    <w:p w14:paraId="0E8C7E66" w14:textId="77777777" w:rsidR="00C07874" w:rsidRDefault="00C07874" w:rsidP="00835E9B"/>
    <w:p w14:paraId="45C04DC8" w14:textId="29631043" w:rsidR="00C07874" w:rsidRDefault="00C07874" w:rsidP="00835E9B">
      <w:r>
        <w:t>Bikeshare system</w:t>
      </w:r>
      <w:r w:rsidR="00630E53">
        <w:t xml:space="preserve">s can be planned with a </w:t>
      </w:r>
      <w:r>
        <w:t xml:space="preserve">variety of </w:t>
      </w:r>
      <w:r w:rsidR="00C40C71">
        <w:t>objectives but</w:t>
      </w:r>
      <w:r w:rsidR="00630E53">
        <w:t xml:space="preserve"> are most often focused on improving accessibility to trip generators like jobs</w:t>
      </w:r>
      <w:r w:rsidR="005D2B15">
        <w:t xml:space="preserve"> through </w:t>
      </w:r>
      <w:r w:rsidR="00C16AD8">
        <w:t xml:space="preserve">coverage of potential user demand </w:t>
      </w:r>
      <w:r w:rsidR="00B46FE1">
        <w:t>(</w:t>
      </w:r>
      <w:proofErr w:type="spellStart"/>
      <w:r w:rsidR="00B46FE1">
        <w:t>Kabak</w:t>
      </w:r>
      <w:proofErr w:type="spellEnd"/>
      <w:r w:rsidR="00B46FE1">
        <w:t xml:space="preserve"> et al, </w:t>
      </w:r>
      <w:proofErr w:type="spellStart"/>
      <w:r w:rsidR="00C16AD8">
        <w:t>Wuerzer</w:t>
      </w:r>
      <w:proofErr w:type="spellEnd"/>
      <w:r w:rsidR="00C16AD8">
        <w:t xml:space="preserve"> et al, Qian et al, Liu et al, </w:t>
      </w:r>
      <w:proofErr w:type="spellStart"/>
      <w:r w:rsidR="00C16AD8">
        <w:t>Frade</w:t>
      </w:r>
      <w:proofErr w:type="spellEnd"/>
      <w:r w:rsidR="00C16AD8">
        <w:t xml:space="preserve"> and Ribeiro, Garcia-Gutierrez et al, Mix et al, </w:t>
      </w:r>
      <w:proofErr w:type="spellStart"/>
      <w:r w:rsidR="00C16AD8">
        <w:t>Conrow</w:t>
      </w:r>
      <w:proofErr w:type="spellEnd"/>
      <w:r w:rsidR="00C16AD8">
        <w:t xml:space="preserve"> et al, Garcia-</w:t>
      </w:r>
      <w:proofErr w:type="spellStart"/>
      <w:r w:rsidR="00C16AD8">
        <w:t>Palomares</w:t>
      </w:r>
      <w:proofErr w:type="spellEnd"/>
      <w:r w:rsidR="00C16AD8">
        <w:t xml:space="preserve"> et al, </w:t>
      </w:r>
      <w:proofErr w:type="spellStart"/>
      <w:r w:rsidR="00C16AD8">
        <w:t>Eren</w:t>
      </w:r>
      <w:proofErr w:type="spellEnd"/>
      <w:r w:rsidR="00C16AD8">
        <w:t xml:space="preserve"> et al, </w:t>
      </w:r>
      <w:proofErr w:type="spellStart"/>
      <w:r w:rsidR="00C16AD8">
        <w:t>Ghandehari</w:t>
      </w:r>
      <w:proofErr w:type="spellEnd"/>
      <w:r w:rsidR="00C16AD8">
        <w:t xml:space="preserve"> et al, </w:t>
      </w:r>
      <w:proofErr w:type="spellStart"/>
      <w:r w:rsidR="00C16AD8">
        <w:t>Celebi</w:t>
      </w:r>
      <w:proofErr w:type="spellEnd"/>
      <w:r w:rsidR="00C16AD8">
        <w:t xml:space="preserve"> et al, Cetinkaya et al</w:t>
      </w:r>
      <w:r w:rsidR="00B46FE1">
        <w:t>)</w:t>
      </w:r>
      <w:r w:rsidR="00630E53">
        <w:t>.</w:t>
      </w:r>
      <w:r w:rsidR="005E5DA2">
        <w:t xml:space="preserve"> </w:t>
      </w:r>
      <w:r w:rsidR="008C0DB5">
        <w:t xml:space="preserve">Some municipalities and academics have identified other goals for </w:t>
      </w:r>
      <w:r w:rsidR="005D2B15">
        <w:t>bikeshare systems</w:t>
      </w:r>
      <w:r w:rsidR="004C0BCB">
        <w:t>, such as improving access to recreational cycling (</w:t>
      </w:r>
      <w:proofErr w:type="spellStart"/>
      <w:r w:rsidR="004C0BCB">
        <w:t>Eren</w:t>
      </w:r>
      <w:proofErr w:type="spellEnd"/>
      <w:r w:rsidR="004C0BCB">
        <w:t xml:space="preserve"> et al)</w:t>
      </w:r>
      <w:r w:rsidR="00C16AD8">
        <w:t xml:space="preserve"> or minimizing transportation inequalities among population groups (</w:t>
      </w:r>
      <w:proofErr w:type="spellStart"/>
      <w:r w:rsidR="00C16AD8">
        <w:t>Caggiani</w:t>
      </w:r>
      <w:proofErr w:type="spellEnd"/>
      <w:r w:rsidR="00C16AD8">
        <w:t xml:space="preserve"> et al)</w:t>
      </w:r>
      <w:r w:rsidR="001A0DF5">
        <w:t xml:space="preserve">. </w:t>
      </w:r>
      <w:r w:rsidR="00117573">
        <w:t>Privately operated bikeshare systems may seek to maximize profit through both demand coverage and detailed operating cost minimization (</w:t>
      </w:r>
      <w:proofErr w:type="spellStart"/>
      <w:r w:rsidR="00117573">
        <w:t>Frade</w:t>
      </w:r>
      <w:proofErr w:type="spellEnd"/>
      <w:r w:rsidR="00117573">
        <w:t xml:space="preserve"> and Ribeiro). </w:t>
      </w:r>
      <w:r w:rsidR="001A0DF5">
        <w:t xml:space="preserve">Other objectives mentioned in guidance literature such as the NACTO Bike Share Station Siting Guide and ITDP Bikeshare Planning Guide include </w:t>
      </w:r>
      <w:r w:rsidR="00117573">
        <w:t xml:space="preserve">connecting first/last mile to transit </w:t>
      </w:r>
      <w:proofErr w:type="gramStart"/>
      <w:r w:rsidR="00117573">
        <w:t>stops</w:t>
      </w:r>
      <w:proofErr w:type="gramEnd"/>
    </w:p>
    <w:p w14:paraId="3A024CCD" w14:textId="77777777" w:rsidR="00C07874" w:rsidRDefault="00C07874" w:rsidP="00835E9B"/>
    <w:p w14:paraId="62E18BFA" w14:textId="7852D975" w:rsidR="00C07874" w:rsidRDefault="00C07874" w:rsidP="00835E9B">
      <w:r>
        <w:t xml:space="preserve">Smaller/medium sized urban areas may face unique challenges with the planning and operation of bikeshare systems. Smaller municipalities or metropolitan planning organizations may not have resources for extensive data collection and analysis techniques for station siting. </w:t>
      </w:r>
      <w:r w:rsidR="0050340D">
        <w:t>Due to</w:t>
      </w:r>
      <w:r>
        <w:t xml:space="preserve"> the </w:t>
      </w:r>
      <w:r w:rsidR="0050340D">
        <w:t>distribution of</w:t>
      </w:r>
      <w:r>
        <w:t xml:space="preserve"> land uses and</w:t>
      </w:r>
      <w:r w:rsidR="005536CE">
        <w:t xml:space="preserve"> spatial</w:t>
      </w:r>
      <w:r>
        <w:t xml:space="preserve"> concentration of dense development unique to smaller urban areas, there may be multiple objectives for a bikeshare system that may sometimes compete</w:t>
      </w:r>
      <w:r w:rsidR="00B658BE">
        <w:t>. For example, maximizing job accessibility may locate stations primarily in a downtown district while maximizing access to recreational opportunities may locate stations primarily near trailheads or parks in the less dense edges of town</w:t>
      </w:r>
      <w:r>
        <w:t xml:space="preserve">. </w:t>
      </w:r>
      <w:r w:rsidR="00EC1C93">
        <w:t xml:space="preserve">Small </w:t>
      </w:r>
      <w:r w:rsidR="002A7ADE">
        <w:t>communities</w:t>
      </w:r>
      <w:r w:rsidR="00EC1C93">
        <w:t xml:space="preserve"> may also struggle to maintain </w:t>
      </w:r>
      <w:r w:rsidR="002A7ADE">
        <w:t xml:space="preserve">systems with limited </w:t>
      </w:r>
      <w:r w:rsidR="004C0BCB">
        <w:t>resources and</w:t>
      </w:r>
      <w:r w:rsidR="002A7ADE">
        <w:t xml:space="preserve"> may benefit from public-private partnerships with local businesses, campuses, or business districts to assist </w:t>
      </w:r>
      <w:r w:rsidR="000177AD">
        <w:t>operationally</w:t>
      </w:r>
      <w:r w:rsidR="00C005D0">
        <w:t xml:space="preserve"> (</w:t>
      </w:r>
      <w:hyperlink r:id="rId4" w:history="1">
        <w:r w:rsidR="00C005D0" w:rsidRPr="00C005D0">
          <w:rPr>
            <w:rStyle w:val="Hyperlink"/>
          </w:rPr>
          <w:t>NLC website</w:t>
        </w:r>
      </w:hyperlink>
      <w:r w:rsidR="00C005D0">
        <w:t>).</w:t>
      </w:r>
    </w:p>
    <w:p w14:paraId="5121564C" w14:textId="77777777" w:rsidR="006E372B" w:rsidRDefault="006E372B" w:rsidP="00835E9B"/>
    <w:p w14:paraId="0448EC1A" w14:textId="355F30C4" w:rsidR="006E372B" w:rsidRDefault="006E372B" w:rsidP="00835E9B">
      <w:r>
        <w:t xml:space="preserve">This article presents an approach to bikeshare station siting </w:t>
      </w:r>
      <w:r w:rsidR="00A116E0">
        <w:t>catered to small/medium-sized urban areas</w:t>
      </w:r>
      <w:r w:rsidR="00145BDB">
        <w:t xml:space="preserve"> considering </w:t>
      </w:r>
      <w:r w:rsidR="00510258">
        <w:t xml:space="preserve">1) </w:t>
      </w:r>
      <w:r w:rsidR="00145BDB">
        <w:t>limited resources for data collection/analysis</w:t>
      </w:r>
      <w:r w:rsidR="00510258">
        <w:t>, planning, and operation of a BSS</w:t>
      </w:r>
      <w:r w:rsidR="00145BDB">
        <w:t xml:space="preserve"> and</w:t>
      </w:r>
      <w:r w:rsidR="00510258">
        <w:t xml:space="preserve"> 2) a combination of policy objectives, which can be made flexible to reflect the goals of the city.</w:t>
      </w:r>
      <w:r w:rsidR="00004275">
        <w:t xml:space="preserve"> </w:t>
      </w:r>
      <w:r w:rsidR="006E1F19">
        <w:t xml:space="preserve">The approach uses a survey of transportation industry professionals and an Analytic Hierarchy Process (AHP) to determine weights of different criteria for different policy objectives, then uses GIS </w:t>
      </w:r>
      <w:r w:rsidR="00BB5B67">
        <w:t xml:space="preserve">tools </w:t>
      </w:r>
      <w:r w:rsidR="006E1F19">
        <w:t>to determine a raster propensity (hotspot) analysis</w:t>
      </w:r>
      <w:r w:rsidR="001C6285">
        <w:t xml:space="preserve"> with a new spatial index assigned to each cell conveying its </w:t>
      </w:r>
      <w:r w:rsidR="000C124B">
        <w:t xml:space="preserve">relative </w:t>
      </w:r>
      <w:r w:rsidR="001C6285">
        <w:t>value</w:t>
      </w:r>
      <w:r w:rsidR="006E1F19">
        <w:t xml:space="preserve">, and finally </w:t>
      </w:r>
      <w:r w:rsidR="00BB5B67">
        <w:t>takes raster cells as candidate station locations to optimize placem</w:t>
      </w:r>
      <w:r w:rsidR="005C0124">
        <w:t>ent of bikeshare stations</w:t>
      </w:r>
      <w:r w:rsidR="0075034D">
        <w:t>.</w:t>
      </w:r>
      <w:r w:rsidR="00DA21A0">
        <w:t xml:space="preserve"> Results for different criteria weighting reflecting different policy objectives (job accessibility, recreation/tourism accessibility, first/last mile connectivity to transit,</w:t>
      </w:r>
      <w:r w:rsidR="000C124B">
        <w:t xml:space="preserve"> improving transportation equity</w:t>
      </w:r>
      <w:r w:rsidR="00DA21A0">
        <w:t>,</w:t>
      </w:r>
      <w:r w:rsidR="000C124B">
        <w:t xml:space="preserve"> and minimizing initial costs through site selection)</w:t>
      </w:r>
      <w:r w:rsidR="00DA21A0">
        <w:t xml:space="preserve"> will be compare</w:t>
      </w:r>
      <w:r w:rsidR="000C124B">
        <w:t>d to each other, and to the generic ITDP guidance given for station siting</w:t>
      </w:r>
      <w:r w:rsidR="00C30991">
        <w:t xml:space="preserve"> to show improved objective values.</w:t>
      </w:r>
    </w:p>
    <w:p w14:paraId="29FACB95" w14:textId="77777777" w:rsidR="00C07874" w:rsidRDefault="00C07874" w:rsidP="00835E9B"/>
    <w:p w14:paraId="397403CE" w14:textId="77777777" w:rsidR="000C5E1F" w:rsidRDefault="000C5E1F" w:rsidP="00835E9B">
      <w:pPr>
        <w:rPr>
          <w:b/>
          <w:bCs/>
          <w:sz w:val="28"/>
          <w:szCs w:val="28"/>
        </w:rPr>
      </w:pPr>
    </w:p>
    <w:p w14:paraId="73C052E2" w14:textId="77777777" w:rsidR="000C5E1F" w:rsidRDefault="000C5E1F" w:rsidP="00835E9B">
      <w:pPr>
        <w:rPr>
          <w:b/>
          <w:bCs/>
          <w:sz w:val="28"/>
          <w:szCs w:val="28"/>
        </w:rPr>
      </w:pPr>
    </w:p>
    <w:p w14:paraId="3E1A29B0" w14:textId="32C2BC58" w:rsidR="00C07874" w:rsidRDefault="00C07874" w:rsidP="00835E9B">
      <w:pPr>
        <w:rPr>
          <w:b/>
          <w:bCs/>
          <w:sz w:val="28"/>
          <w:szCs w:val="28"/>
        </w:rPr>
      </w:pPr>
      <w:r w:rsidRPr="00C07874">
        <w:rPr>
          <w:b/>
          <w:bCs/>
          <w:sz w:val="28"/>
          <w:szCs w:val="28"/>
        </w:rPr>
        <w:lastRenderedPageBreak/>
        <w:t>Literature Review</w:t>
      </w:r>
    </w:p>
    <w:p w14:paraId="1356C137" w14:textId="77777777" w:rsidR="00C40C71" w:rsidRDefault="00C40C71" w:rsidP="00835E9B">
      <w:pPr>
        <w:rPr>
          <w:b/>
          <w:bCs/>
          <w:sz w:val="28"/>
          <w:szCs w:val="28"/>
        </w:rPr>
      </w:pPr>
    </w:p>
    <w:p w14:paraId="1A0536EA" w14:textId="1CA5A170" w:rsidR="00B8418C" w:rsidRDefault="00B8418C" w:rsidP="00835E9B">
      <w:r w:rsidRPr="00B8418C">
        <w:t>There is much existing literature on bikeshare station siting</w:t>
      </w:r>
      <w:r>
        <w:t xml:space="preserve"> guidance, propensity analysis, multi-</w:t>
      </w:r>
      <w:r w:rsidR="006E372B">
        <w:t>criteria decision-making</w:t>
      </w:r>
      <w:r>
        <w:t xml:space="preserve"> </w:t>
      </w:r>
      <w:r w:rsidR="003A59F4">
        <w:t>approaches</w:t>
      </w:r>
      <w:r>
        <w:t>,</w:t>
      </w:r>
      <w:r w:rsidR="00B46FE1">
        <w:t xml:space="preserve"> siting</w:t>
      </w:r>
      <w:r>
        <w:t xml:space="preserve"> optimization methods, </w:t>
      </w:r>
      <w:r w:rsidR="00B46FE1">
        <w:t xml:space="preserve">dimensioning optimization methods, </w:t>
      </w:r>
      <w:r w:rsidR="00EE1A34">
        <w:t>and evaluation of transportation network and built environment factors</w:t>
      </w:r>
      <w:r w:rsidR="00F149D7">
        <w:t xml:space="preserve"> that most affect bikeshare station activity in existing urban systems.</w:t>
      </w:r>
    </w:p>
    <w:p w14:paraId="6080FA8C" w14:textId="77777777" w:rsidR="00A92391" w:rsidRDefault="00A92391" w:rsidP="00835E9B"/>
    <w:p w14:paraId="567A969A" w14:textId="0DC0B11B" w:rsidR="00367D5F" w:rsidRDefault="00A92391" w:rsidP="00835E9B">
      <w:r>
        <w:t xml:space="preserve">Propensity analyses were typically used to generate a hotspot map for potential valuable station locations, which can then be hand-picked by the system operator. Optimization methods typically required </w:t>
      </w:r>
      <w:r w:rsidR="004C3E4F">
        <w:t>a predefined universe of candidate station locations or zones</w:t>
      </w:r>
      <w:r w:rsidR="00FB39E1">
        <w:t>, with a subset selected that maximizes an objective value.</w:t>
      </w:r>
      <w:r w:rsidR="00637793">
        <w:t xml:space="preserve"> The approach presented combines propensity analysis and siting optimization.</w:t>
      </w:r>
    </w:p>
    <w:p w14:paraId="7CE64E4D" w14:textId="44225265" w:rsidR="00367D5F" w:rsidRPr="00B8418C" w:rsidRDefault="00367D5F" w:rsidP="00835E9B"/>
    <w:p w14:paraId="7D12BC23" w14:textId="27B9659A" w:rsidR="002A7ADE" w:rsidRDefault="00E64588" w:rsidP="00835E9B">
      <w:pPr>
        <w:rPr>
          <w:b/>
          <w:bCs/>
          <w:sz w:val="28"/>
          <w:szCs w:val="28"/>
        </w:rPr>
      </w:pPr>
      <w:r>
        <w:rPr>
          <w:b/>
          <w:bCs/>
        </w:rPr>
        <w:t xml:space="preserve">General Guidance for Bikeshare Planning and Small/Medium-Sized Urban Areas </w:t>
      </w:r>
      <w:r w:rsidR="00A27DB5">
        <w:rPr>
          <w:b/>
          <w:bCs/>
        </w:rPr>
        <w:t>Context</w:t>
      </w:r>
    </w:p>
    <w:p w14:paraId="56FDB840" w14:textId="77777777" w:rsidR="006E1F19" w:rsidRDefault="006E1F19" w:rsidP="00835E9B">
      <w:pPr>
        <w:rPr>
          <w:b/>
          <w:bCs/>
          <w:sz w:val="28"/>
          <w:szCs w:val="28"/>
        </w:rPr>
      </w:pPr>
    </w:p>
    <w:p w14:paraId="6A5D5BE9" w14:textId="551CE5F3" w:rsidR="00A27DB5" w:rsidRDefault="00514396" w:rsidP="00835E9B">
      <w:r>
        <w:t>Two bikeshare planning guides were referenced in the development of the approach presented in this paper: NACTO’s Station Siting Guide (2016) and ITDP’s Bikeshare Planning Guide (2018). Both recommend siting stations close to bicycle lanes, transit stations, and vaguely defined “demand generators”. ITDP provides two approaches (the grid approach and field approach) that help planners ensure desired density of bike stations.</w:t>
      </w:r>
    </w:p>
    <w:p w14:paraId="5DA29E09" w14:textId="77777777" w:rsidR="00F6250A" w:rsidRDefault="00F6250A" w:rsidP="00835E9B"/>
    <w:p w14:paraId="57318CEC" w14:textId="04977F0F" w:rsidR="00811D0B" w:rsidRPr="00A27DB5" w:rsidRDefault="00F6250A" w:rsidP="00835E9B">
      <w:r>
        <w:t xml:space="preserve">In the specific context of small urban areas with lower population densities, </w:t>
      </w:r>
      <w:r w:rsidR="00D17BA1">
        <w:t>the National League of Cities compiled case studies to recommend that stations be sited “near important destinations such as schools, parks, and business districts”, in both disadvantaged and well-off neighborhoods, and considering partnerships with local organizations such as Business Improvement Districts, local businesses, or campuses</w:t>
      </w:r>
      <w:r w:rsidR="0023729E">
        <w:t xml:space="preserve"> to reduce initial installation costs</w:t>
      </w:r>
      <w:r w:rsidR="00811D0B">
        <w:t>. Gilbert et al summarized recommendations for initiating bike share in small communities, including siting stations close to food and shopping destinations, in a variety of neighborhoods, near businesses with a high number of employees, close to public transportation, and seeking partnerships with local businesses.</w:t>
      </w:r>
      <w:r w:rsidR="00D76DED">
        <w:t xml:space="preserve"> In both resources, less emphasis was placed on proximity to </w:t>
      </w:r>
      <w:r w:rsidR="00681734">
        <w:t xml:space="preserve">dedicated </w:t>
      </w:r>
      <w:r w:rsidR="00D76DED">
        <w:t xml:space="preserve">cycling infrastructure because it might be lacking in many small urban areas. </w:t>
      </w:r>
    </w:p>
    <w:p w14:paraId="01949805" w14:textId="77777777" w:rsidR="006E1F19" w:rsidRDefault="006E1F19" w:rsidP="006E1F19">
      <w:pPr>
        <w:rPr>
          <w:b/>
          <w:bCs/>
        </w:rPr>
      </w:pPr>
    </w:p>
    <w:p w14:paraId="297B6773" w14:textId="5BE88073" w:rsidR="006E1F19" w:rsidRDefault="006E1F19" w:rsidP="006E1F19">
      <w:pPr>
        <w:rPr>
          <w:b/>
          <w:bCs/>
        </w:rPr>
      </w:pPr>
      <w:r>
        <w:rPr>
          <w:b/>
          <w:bCs/>
        </w:rPr>
        <w:t xml:space="preserve">Input Criteria to be </w:t>
      </w:r>
      <w:proofErr w:type="gramStart"/>
      <w:r>
        <w:rPr>
          <w:b/>
          <w:bCs/>
        </w:rPr>
        <w:t>Considered</w:t>
      </w:r>
      <w:proofErr w:type="gramEnd"/>
    </w:p>
    <w:p w14:paraId="7E3C6C62" w14:textId="77777777" w:rsidR="006E1F19" w:rsidRDefault="006E1F19" w:rsidP="006E1F19">
      <w:pPr>
        <w:rPr>
          <w:b/>
          <w:bCs/>
        </w:rPr>
      </w:pPr>
    </w:p>
    <w:p w14:paraId="6F16E1FC" w14:textId="09FA146A" w:rsidR="006E1F19" w:rsidRDefault="007C0CFA" w:rsidP="006E1F19">
      <w:r>
        <w:t>Proximity to a variety of geospatial inputs has been used in bikeshare activity analysis and station siting methods</w:t>
      </w:r>
      <w:r w:rsidR="00414172">
        <w:t>. Multiple researchers have studied the correlation between transportation network, user population, and built environment factors and existing bikeshare activity (</w:t>
      </w:r>
      <w:proofErr w:type="spellStart"/>
      <w:r w:rsidR="00414172">
        <w:t>Croci</w:t>
      </w:r>
      <w:proofErr w:type="spellEnd"/>
      <w:r w:rsidR="00414172">
        <w:t xml:space="preserve"> and Rossi, Duran-</w:t>
      </w:r>
      <w:proofErr w:type="spellStart"/>
      <w:r w:rsidR="00414172">
        <w:t>Rodas</w:t>
      </w:r>
      <w:proofErr w:type="spellEnd"/>
      <w:r w:rsidR="00414172">
        <w:t xml:space="preserve"> et al, Wang et al). </w:t>
      </w:r>
      <w:r w:rsidR="00151B0C">
        <w:t>Several papers have modeled proximity to specific input factors as trip attrac</w:t>
      </w:r>
      <w:r w:rsidR="00473CF8">
        <w:t xml:space="preserve">tions </w:t>
      </w:r>
      <w:r w:rsidR="00151B0C">
        <w:t>or genera</w:t>
      </w:r>
      <w:r w:rsidR="00473CF8">
        <w:t>tions</w:t>
      </w:r>
      <w:r w:rsidR="00151B0C">
        <w:t xml:space="preserve"> for the purpose of predicting trip demand between stations in an optimization model (</w:t>
      </w:r>
      <w:proofErr w:type="spellStart"/>
      <w:r w:rsidR="00151B0C">
        <w:t>Celebi</w:t>
      </w:r>
      <w:proofErr w:type="spellEnd"/>
      <w:r w:rsidR="00151B0C">
        <w:t xml:space="preserve"> et al, Mix et al, Liu et al, Qian et al, </w:t>
      </w:r>
      <w:proofErr w:type="spellStart"/>
      <w:r w:rsidR="00151B0C">
        <w:t>Conrow</w:t>
      </w:r>
      <w:proofErr w:type="spellEnd"/>
      <w:r w:rsidR="00151B0C">
        <w:t xml:space="preserve"> et al). </w:t>
      </w:r>
      <w:r w:rsidR="00336AC1">
        <w:t>Propensity analysis papers use similar demand indicators to determine spatial index values to visualize hot spots for potential bikeshare stations/mobility hubs.</w:t>
      </w:r>
    </w:p>
    <w:p w14:paraId="1451EFE9" w14:textId="77777777" w:rsidR="00336AC1" w:rsidRDefault="00336AC1" w:rsidP="006E1F19"/>
    <w:p w14:paraId="319DC82A" w14:textId="0E39BBBE" w:rsidR="00336AC1" w:rsidRDefault="00336AC1" w:rsidP="006E1F19">
      <w:r>
        <w:t>A full summary of past studies and input criteria used is available in Table 1.</w:t>
      </w:r>
    </w:p>
    <w:p w14:paraId="153F5615" w14:textId="77777777" w:rsidR="005F4402" w:rsidRDefault="005F4402" w:rsidP="006E1F19"/>
    <w:p w14:paraId="2203D231" w14:textId="7DB1BDBC" w:rsidR="00B751DC" w:rsidRPr="00B751DC" w:rsidRDefault="00B751DC" w:rsidP="00B751DC">
      <w:pPr>
        <w:keepNext/>
        <w:widowControl w:val="0"/>
        <w:rPr>
          <w:b/>
          <w:bCs/>
        </w:rPr>
      </w:pPr>
      <w:r w:rsidRPr="00B751DC">
        <w:rPr>
          <w:b/>
          <w:bCs/>
        </w:rPr>
        <w:t>Table 1: Input Criteria Used in Existing Literature</w:t>
      </w:r>
    </w:p>
    <w:p w14:paraId="72CDA116" w14:textId="246717AB" w:rsidR="00336AC1" w:rsidRDefault="00336AC1" w:rsidP="006E1F19">
      <w:r>
        <w:rPr>
          <w:noProof/>
        </w:rPr>
        <w:drawing>
          <wp:inline distT="0" distB="0" distL="0" distR="0" wp14:anchorId="630B42B6" wp14:editId="26EDDCBB">
            <wp:extent cx="5943600" cy="4071620"/>
            <wp:effectExtent l="0" t="0" r="0" b="5080"/>
            <wp:docPr id="1" name="Picture 1"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calenda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71620"/>
                    </a:xfrm>
                    <a:prstGeom prst="rect">
                      <a:avLst/>
                    </a:prstGeom>
                  </pic:spPr>
                </pic:pic>
              </a:graphicData>
            </a:graphic>
          </wp:inline>
        </w:drawing>
      </w:r>
    </w:p>
    <w:p w14:paraId="6AE2FEBC" w14:textId="77777777" w:rsidR="00F77805" w:rsidRDefault="00F77805" w:rsidP="006E1F19"/>
    <w:p w14:paraId="45CEC11C" w14:textId="4645D884" w:rsidR="00AB0E08" w:rsidRDefault="00336AC1" w:rsidP="006E1F19">
      <w:r>
        <w:t>The input criteria used in the proposed approach is comprehensive,</w:t>
      </w:r>
      <w:r w:rsidR="00956C9E">
        <w:t xml:space="preserve"> </w:t>
      </w:r>
      <w:r>
        <w:t xml:space="preserve">and </w:t>
      </w:r>
      <w:r w:rsidR="00956C9E">
        <w:t>much of this data is regularly updated and publicly available</w:t>
      </w:r>
      <w:r w:rsidR="008D783B">
        <w:t xml:space="preserve"> or typically maintained by Metropolitan Planning Organizations.</w:t>
      </w:r>
    </w:p>
    <w:p w14:paraId="425561E7" w14:textId="77777777" w:rsidR="00AC4E96" w:rsidRDefault="00AC4E96" w:rsidP="006E1F19"/>
    <w:p w14:paraId="01E3BD3C" w14:textId="15DCEEDD" w:rsidR="00AC4E96" w:rsidRDefault="00AC4E96" w:rsidP="006E1F19">
      <w:r>
        <w:t xml:space="preserve">Many </w:t>
      </w:r>
      <w:r w:rsidR="00B8486D">
        <w:t>station sit</w:t>
      </w:r>
      <w:r w:rsidR="00310ED6">
        <w:t xml:space="preserve">ing </w:t>
      </w:r>
      <w:r>
        <w:t xml:space="preserve">papers have used a multi-criteria decision-making approach to guide the input criteria weights, and most </w:t>
      </w:r>
      <w:r w:rsidR="0071270D">
        <w:t xml:space="preserve">have </w:t>
      </w:r>
      <w:r>
        <w:t xml:space="preserve">used </w:t>
      </w:r>
      <w:r w:rsidR="00CB6F39">
        <w:t xml:space="preserve">an analytic hierarchical process, or </w:t>
      </w:r>
      <w:r>
        <w:t>AHP</w:t>
      </w:r>
      <w:r w:rsidR="00B8486D">
        <w:t xml:space="preserve"> (</w:t>
      </w:r>
      <w:proofErr w:type="spellStart"/>
      <w:r w:rsidR="00B8486D">
        <w:t>Eren</w:t>
      </w:r>
      <w:proofErr w:type="spellEnd"/>
      <w:r w:rsidR="00B8486D">
        <w:t xml:space="preserve"> et al, </w:t>
      </w:r>
      <w:proofErr w:type="spellStart"/>
      <w:r w:rsidR="00B8486D">
        <w:t>Kabak</w:t>
      </w:r>
      <w:proofErr w:type="spellEnd"/>
      <w:r w:rsidR="00B8486D">
        <w:t xml:space="preserve"> et al, Salih-</w:t>
      </w:r>
      <w:proofErr w:type="spellStart"/>
      <w:r w:rsidR="00B8486D">
        <w:t>Elamin</w:t>
      </w:r>
      <w:proofErr w:type="spellEnd"/>
      <w:r w:rsidR="00B8486D">
        <w:t xml:space="preserve"> and Al-</w:t>
      </w:r>
      <w:proofErr w:type="spellStart"/>
      <w:r w:rsidR="00B8486D">
        <w:t>Deek</w:t>
      </w:r>
      <w:proofErr w:type="spellEnd"/>
      <w:r w:rsidR="00B8486D">
        <w:t xml:space="preserve">, </w:t>
      </w:r>
      <w:proofErr w:type="spellStart"/>
      <w:r w:rsidR="00B8486D">
        <w:t>Ghandehari</w:t>
      </w:r>
      <w:proofErr w:type="spellEnd"/>
      <w:r w:rsidR="00B8486D">
        <w:t xml:space="preserve"> et al)</w:t>
      </w:r>
      <w:r w:rsidR="004C5E19">
        <w:t>.</w:t>
      </w:r>
      <w:r w:rsidR="00123B82">
        <w:t xml:space="preserve"> One used a fuzzy AHP process to account for uncertainty in decision making (Cetinkaya).</w:t>
      </w:r>
      <w:r w:rsidR="00D5558B">
        <w:t xml:space="preserve"> </w:t>
      </w:r>
      <w:proofErr w:type="gramStart"/>
      <w:r w:rsidR="00310ED6">
        <w:t>A majority of</w:t>
      </w:r>
      <w:proofErr w:type="gramEnd"/>
      <w:r w:rsidR="00310ED6">
        <w:t xml:space="preserve"> these papers used AHP to determine a spatial index for all candidate locations, then used a ranking method, as opposed to an optimization approach, to indicate high-value station candidates.</w:t>
      </w:r>
      <w:r w:rsidR="0071270D">
        <w:t xml:space="preserve"> The approach proposed in this paper will use AHP to generate a spatial index</w:t>
      </w:r>
      <w:r w:rsidR="00FF3FDC">
        <w:t xml:space="preserve"> to be used in the optimization objective function.</w:t>
      </w:r>
    </w:p>
    <w:p w14:paraId="2CC8AC01" w14:textId="77777777" w:rsidR="006E1F19" w:rsidRDefault="006E1F19" w:rsidP="00835E9B">
      <w:pPr>
        <w:rPr>
          <w:b/>
          <w:bCs/>
          <w:sz w:val="28"/>
          <w:szCs w:val="28"/>
        </w:rPr>
      </w:pPr>
    </w:p>
    <w:p w14:paraId="76D801B8" w14:textId="57C6DB5D" w:rsidR="006E1F19" w:rsidRDefault="002A7ADE" w:rsidP="00835E9B">
      <w:pPr>
        <w:rPr>
          <w:b/>
          <w:bCs/>
        </w:rPr>
      </w:pPr>
      <w:r>
        <w:rPr>
          <w:b/>
          <w:bCs/>
        </w:rPr>
        <w:t>Propensity (Hotspot) Analysis</w:t>
      </w:r>
      <w:r w:rsidR="00B8418C">
        <w:rPr>
          <w:b/>
          <w:bCs/>
        </w:rPr>
        <w:t xml:space="preserve"> Methods</w:t>
      </w:r>
    </w:p>
    <w:p w14:paraId="26976BD3" w14:textId="77777777" w:rsidR="002A7ADE" w:rsidRDefault="002A7ADE" w:rsidP="00835E9B">
      <w:pPr>
        <w:rPr>
          <w:b/>
          <w:bCs/>
        </w:rPr>
      </w:pPr>
    </w:p>
    <w:p w14:paraId="012E67AD" w14:textId="2B156E11" w:rsidR="002A0A57" w:rsidRDefault="002C711A" w:rsidP="00835E9B">
      <w:r>
        <w:t xml:space="preserve">A few academics and municipalities have used arbitrary weights for determining the value of </w:t>
      </w:r>
      <w:r w:rsidR="009042F7">
        <w:t>candidate site locations</w:t>
      </w:r>
      <w:r w:rsidR="00E14925">
        <w:t xml:space="preserve"> (</w:t>
      </w:r>
      <w:proofErr w:type="spellStart"/>
      <w:r w:rsidR="00E14925">
        <w:t>Wuerzer</w:t>
      </w:r>
      <w:proofErr w:type="spellEnd"/>
      <w:r w:rsidR="00E14925">
        <w:t xml:space="preserve"> et al, </w:t>
      </w:r>
      <w:r w:rsidR="00FE770D">
        <w:t>Washington DC</w:t>
      </w:r>
      <w:r w:rsidR="00F442EF">
        <w:t xml:space="preserve">, </w:t>
      </w:r>
      <w:r w:rsidR="001B33A0">
        <w:t>Twin Cities</w:t>
      </w:r>
      <w:r w:rsidR="00F442EF">
        <w:t>)</w:t>
      </w:r>
      <w:r w:rsidR="0062433D">
        <w:t xml:space="preserve"> in a hotspot visualization.</w:t>
      </w:r>
    </w:p>
    <w:p w14:paraId="3ADFD1E6" w14:textId="77777777" w:rsidR="002A0A57" w:rsidRDefault="002A0A57" w:rsidP="00835E9B"/>
    <w:p w14:paraId="7370C39F" w14:textId="003B1015" w:rsidR="00AF34C3" w:rsidRDefault="00F442EF" w:rsidP="00835E9B">
      <w:r>
        <w:t xml:space="preserve">In both the Capital Bikeshare Development Plan Update and Mobility Hubs Siting Methods and Analysis, a classification was made for the type of station/hub based on its outcome objective. In DC, three categories were considered: “Ridership” for regular use/commuting, “Revenue” for casual use/tourism, and “Public </w:t>
      </w:r>
      <w:r w:rsidR="00305B16">
        <w:t>Welfare</w:t>
      </w:r>
      <w:r>
        <w:t>” for servicing disadvantaged communities</w:t>
      </w:r>
      <w:r w:rsidR="00BB08BF">
        <w:t xml:space="preserve">. In the Twin Cities the categories were “Connect the Region” for hubs in proximity to demand generators, “Expand and Integrate Multimodal Travel Options” for hubs in proximity to the existing transportation network, and “Advance Equity” for hubs in proximity to disadvantaged communities. </w:t>
      </w:r>
      <w:r w:rsidR="004364AA">
        <w:t>In DC</w:t>
      </w:r>
      <w:r w:rsidR="00305B16">
        <w:t xml:space="preserve"> it was determined that</w:t>
      </w:r>
      <w:r w:rsidR="004364AA">
        <w:t xml:space="preserve"> </w:t>
      </w:r>
      <w:r w:rsidR="00305B16">
        <w:t>an allocation of half of new stations should be “Public Welfare”, while a fifth should be “Revenue” stations.</w:t>
      </w:r>
      <w:r w:rsidR="00661B1C">
        <w:t xml:space="preserve"> In the Twin Cities, it was determined that a third of hubs selected should “Connect the Region”, a third should “Expand and Integrate Multimodal Travel Options”, and a third should “Advance Equity”.</w:t>
      </w:r>
    </w:p>
    <w:p w14:paraId="4EE05D6D" w14:textId="77777777" w:rsidR="00AF34C3" w:rsidRDefault="00AF34C3" w:rsidP="00835E9B"/>
    <w:p w14:paraId="641D7A16" w14:textId="5C3CC649" w:rsidR="00FE770D" w:rsidRDefault="00AF34C3" w:rsidP="00835E9B">
      <w:r>
        <w:t>This commonality</w:t>
      </w:r>
      <w:r w:rsidR="00661B1C">
        <w:t xml:space="preserve"> in practice</w:t>
      </w:r>
      <w:r>
        <w:t xml:space="preserve"> indicates that classifying stations for specific outcome objectives</w:t>
      </w:r>
      <w:r w:rsidR="00661B1C">
        <w:t>, which can be distributed</w:t>
      </w:r>
      <w:r w:rsidR="0061038F">
        <w:t xml:space="preserve"> proportionally</w:t>
      </w:r>
      <w:r w:rsidR="00661B1C">
        <w:t xml:space="preserve"> according to polic</w:t>
      </w:r>
      <w:r w:rsidR="00897F4A">
        <w:t>y goals, is valuable to transportation planners.</w:t>
      </w:r>
      <w:r w:rsidR="0061038F">
        <w:t xml:space="preserve"> The approach presented in this paper allows for this classification and distribution to be made.</w:t>
      </w:r>
      <w:r w:rsidR="00977EA3">
        <w:t xml:space="preserve"> Only one other paper has classified multiple objectives like this (</w:t>
      </w:r>
      <w:proofErr w:type="spellStart"/>
      <w:r w:rsidR="00977EA3">
        <w:t>Eren</w:t>
      </w:r>
      <w:proofErr w:type="spellEnd"/>
      <w:r w:rsidR="00977EA3">
        <w:t xml:space="preserve"> et al), and the only objectives considered were transportation and recreation</w:t>
      </w:r>
      <w:r w:rsidR="004502F8">
        <w:t>al cycling</w:t>
      </w:r>
      <w:r w:rsidR="00977EA3">
        <w:t>.</w:t>
      </w:r>
    </w:p>
    <w:p w14:paraId="2ECFDAC6" w14:textId="77777777" w:rsidR="00B8418C" w:rsidRDefault="00B8418C" w:rsidP="00835E9B"/>
    <w:p w14:paraId="204322FF" w14:textId="34F38B0E" w:rsidR="00B8418C" w:rsidRDefault="001B3FAD" w:rsidP="00835E9B">
      <w:pPr>
        <w:rPr>
          <w:b/>
          <w:bCs/>
        </w:rPr>
      </w:pPr>
      <w:r>
        <w:rPr>
          <w:b/>
          <w:bCs/>
        </w:rPr>
        <w:t>Station Siting Optimization</w:t>
      </w:r>
    </w:p>
    <w:p w14:paraId="0BE7A8DF" w14:textId="77777777" w:rsidR="00BB5B67" w:rsidRDefault="00BB5B67" w:rsidP="00835E9B">
      <w:pPr>
        <w:rPr>
          <w:b/>
          <w:bCs/>
        </w:rPr>
      </w:pPr>
    </w:p>
    <w:p w14:paraId="767FD6D9" w14:textId="6CCED037" w:rsidR="00F81C52" w:rsidRDefault="00F81C52" w:rsidP="00835E9B">
      <w:r>
        <w:t xml:space="preserve">Several papers reviewed used weighted input criteria from the AHP to evaluate candidate station </w:t>
      </w:r>
      <w:r w:rsidR="00B90106">
        <w:t>locations and</w:t>
      </w:r>
      <w:r>
        <w:t xml:space="preserve"> </w:t>
      </w:r>
      <w:r w:rsidR="00B90106">
        <w:t>used a Multi-Criteria Decision-Making approach to output</w:t>
      </w:r>
      <w:r>
        <w:t xml:space="preserve"> a ranked list of all stations instead of a subset of optimal stations. Two used a </w:t>
      </w:r>
      <w:r w:rsidR="00B90106">
        <w:t>Technique for Order of Preference by Similarity (</w:t>
      </w:r>
      <w:r>
        <w:t>TOPSIS</w:t>
      </w:r>
      <w:r w:rsidR="00B90106">
        <w:t>)</w:t>
      </w:r>
      <w:r>
        <w:t xml:space="preserve"> ranking </w:t>
      </w:r>
      <w:r w:rsidR="00B90106">
        <w:t>approach</w:t>
      </w:r>
      <w:r>
        <w:t xml:space="preserve"> (Cetinkaya, Salih-</w:t>
      </w:r>
      <w:proofErr w:type="spellStart"/>
      <w:r>
        <w:t>Elamin</w:t>
      </w:r>
      <w:proofErr w:type="spellEnd"/>
      <w:r>
        <w:t xml:space="preserve"> and Al-</w:t>
      </w:r>
      <w:proofErr w:type="spellStart"/>
      <w:r>
        <w:t>Deek</w:t>
      </w:r>
      <w:proofErr w:type="spellEnd"/>
      <w:r>
        <w:t>), one used a VIKOR method and Psychometric-VIKOR method (</w:t>
      </w:r>
      <w:proofErr w:type="spellStart"/>
      <w:r>
        <w:t>Eren</w:t>
      </w:r>
      <w:proofErr w:type="spellEnd"/>
      <w:r>
        <w:t xml:space="preserve"> et al), and another used a Multi-Objective Optimization by Ratio Analysis </w:t>
      </w:r>
      <w:r w:rsidR="00B90106">
        <w:t>(MOORA) approach (</w:t>
      </w:r>
      <w:proofErr w:type="spellStart"/>
      <w:r w:rsidR="00B90106">
        <w:t>Kabak</w:t>
      </w:r>
      <w:proofErr w:type="spellEnd"/>
      <w:r w:rsidR="00B90106">
        <w:t xml:space="preserve"> et al).</w:t>
      </w:r>
    </w:p>
    <w:p w14:paraId="5302D2CF" w14:textId="77777777" w:rsidR="00F81C52" w:rsidRDefault="00F81C52" w:rsidP="00835E9B"/>
    <w:p w14:paraId="159D7A39" w14:textId="77777777" w:rsidR="00375CC7" w:rsidRDefault="00E14925" w:rsidP="00835E9B">
      <w:r>
        <w:t>Most optimization approaches</w:t>
      </w:r>
      <w:r w:rsidR="003862A1">
        <w:t xml:space="preserve"> using mathematical programming</w:t>
      </w:r>
      <w:r>
        <w:t xml:space="preserve"> in literature optimized to maximal demand coverage</w:t>
      </w:r>
      <w:r w:rsidR="006D510E">
        <w:t xml:space="preserve">, </w:t>
      </w:r>
      <w:r w:rsidR="0008258E">
        <w:t>with demand either known or modeled/approximated from the input criteria discussed above</w:t>
      </w:r>
      <w:r w:rsidR="006D510E">
        <w:t>.</w:t>
      </w:r>
    </w:p>
    <w:p w14:paraId="59B4E852" w14:textId="77777777" w:rsidR="00375CC7" w:rsidRDefault="00375CC7" w:rsidP="00835E9B"/>
    <w:p w14:paraId="6FD014F9" w14:textId="5566897A" w:rsidR="0008258E" w:rsidRDefault="00BB610D" w:rsidP="00835E9B">
      <w:r>
        <w:t>Constraints typically involved a maximum budget</w:t>
      </w:r>
      <w:r w:rsidR="007754BC">
        <w:t xml:space="preserve"> with in-depth modeling of the bikeshare system costs (</w:t>
      </w:r>
      <w:proofErr w:type="spellStart"/>
      <w:r w:rsidR="007754BC">
        <w:t>Wuerzer</w:t>
      </w:r>
      <w:proofErr w:type="spellEnd"/>
      <w:r w:rsidR="007754BC">
        <w:t xml:space="preserve"> et al, </w:t>
      </w:r>
      <w:proofErr w:type="spellStart"/>
      <w:r w:rsidR="007754BC">
        <w:t>Frade</w:t>
      </w:r>
      <w:proofErr w:type="spellEnd"/>
      <w:r w:rsidR="007754BC">
        <w:t xml:space="preserve"> and Ribeiro, </w:t>
      </w:r>
      <w:proofErr w:type="spellStart"/>
      <w:r w:rsidR="007754BC">
        <w:t>Caggiani</w:t>
      </w:r>
      <w:proofErr w:type="spellEnd"/>
      <w:r w:rsidR="007754BC">
        <w:t xml:space="preserve"> et al, Garcia-</w:t>
      </w:r>
      <w:proofErr w:type="spellStart"/>
      <w:r w:rsidR="007754BC">
        <w:t>Guitierrez</w:t>
      </w:r>
      <w:proofErr w:type="spellEnd"/>
      <w:r w:rsidR="007754BC">
        <w:t xml:space="preserve"> et al)</w:t>
      </w:r>
      <w:r>
        <w:t xml:space="preserve"> or </w:t>
      </w:r>
      <w:r w:rsidR="007754BC">
        <w:t xml:space="preserve">a simple </w:t>
      </w:r>
      <w:r>
        <w:t>maximum number of stations</w:t>
      </w:r>
      <w:r w:rsidR="007754BC">
        <w:t xml:space="preserve"> (</w:t>
      </w:r>
      <w:proofErr w:type="spellStart"/>
      <w:r w:rsidR="007754BC">
        <w:t>Ghandehari</w:t>
      </w:r>
      <w:proofErr w:type="spellEnd"/>
      <w:r w:rsidR="007754BC">
        <w:t xml:space="preserve"> et al, </w:t>
      </w:r>
      <w:proofErr w:type="spellStart"/>
      <w:r w:rsidR="007754BC">
        <w:t>Conrow</w:t>
      </w:r>
      <w:proofErr w:type="spellEnd"/>
      <w:r w:rsidR="007754BC">
        <w:t xml:space="preserve"> et al, Qian et al, Liu et al, Mix et al, </w:t>
      </w:r>
      <w:proofErr w:type="spellStart"/>
      <w:r w:rsidR="007754BC">
        <w:t>Celebi</w:t>
      </w:r>
      <w:proofErr w:type="spellEnd"/>
      <w:r w:rsidR="007754BC">
        <w:t xml:space="preserve"> et al, Garcia-</w:t>
      </w:r>
      <w:proofErr w:type="spellStart"/>
      <w:r w:rsidR="007754BC">
        <w:t>Palomares</w:t>
      </w:r>
      <w:proofErr w:type="spellEnd"/>
      <w:r w:rsidR="007754BC">
        <w:t xml:space="preserve"> et al)</w:t>
      </w:r>
      <w:r>
        <w:t>. Some approaches utilized a minimum total coverage (</w:t>
      </w:r>
      <w:proofErr w:type="spellStart"/>
      <w:r>
        <w:t>Caggiani</w:t>
      </w:r>
      <w:proofErr w:type="spellEnd"/>
      <w:r>
        <w:t xml:space="preserve"> et al) or minimum distance between stations (</w:t>
      </w:r>
      <w:proofErr w:type="spellStart"/>
      <w:r>
        <w:t>Ghandehari</w:t>
      </w:r>
      <w:proofErr w:type="spellEnd"/>
      <w:r>
        <w:t xml:space="preserve"> et al, </w:t>
      </w:r>
      <w:r w:rsidR="00BD57D3">
        <w:t>Liu et al</w:t>
      </w:r>
      <w:r>
        <w:t xml:space="preserve">) constraint to ensure </w:t>
      </w:r>
      <w:r w:rsidR="004D42C8">
        <w:t>less dense station siting</w:t>
      </w:r>
      <w:r>
        <w:t>.</w:t>
      </w:r>
      <w:r w:rsidR="00BD57D3">
        <w:t xml:space="preserve"> Some approaches specified a maximum distance between stations to ensure </w:t>
      </w:r>
      <w:r w:rsidR="00B36F5F">
        <w:t xml:space="preserve">a </w:t>
      </w:r>
      <w:r w:rsidR="009B59ED">
        <w:t>connected/</w:t>
      </w:r>
      <w:r w:rsidR="00B36F5F">
        <w:t>useful density of</w:t>
      </w:r>
      <w:r w:rsidR="00BD57D3">
        <w:t xml:space="preserve"> stations (</w:t>
      </w:r>
      <w:proofErr w:type="spellStart"/>
      <w:r w:rsidR="00B36F5F">
        <w:t>Conrow</w:t>
      </w:r>
      <w:proofErr w:type="spellEnd"/>
      <w:r w:rsidR="00B36F5F">
        <w:t xml:space="preserve"> et al, </w:t>
      </w:r>
      <w:proofErr w:type="spellStart"/>
      <w:r w:rsidR="00B36F5F">
        <w:t>Ghandehari</w:t>
      </w:r>
      <w:proofErr w:type="spellEnd"/>
      <w:r w:rsidR="00B36F5F">
        <w:t xml:space="preserve"> et al). </w:t>
      </w:r>
      <w:r w:rsidR="00474923">
        <w:t>If the objective function attempted to reduce inequality in level of service between stations (</w:t>
      </w:r>
      <w:proofErr w:type="spellStart"/>
      <w:r w:rsidR="00474923">
        <w:t>Caggiani</w:t>
      </w:r>
      <w:proofErr w:type="spellEnd"/>
      <w:r w:rsidR="00474923">
        <w:t xml:space="preserve"> et al), a minimum average accessibility constraint was used to set a baseline standard of service.</w:t>
      </w:r>
    </w:p>
    <w:p w14:paraId="45F32DAE" w14:textId="77777777" w:rsidR="00D10EDD" w:rsidRDefault="00D10EDD" w:rsidP="00835E9B"/>
    <w:p w14:paraId="30053D12" w14:textId="0A5E3F9C" w:rsidR="00331C35" w:rsidRDefault="005B3BA2" w:rsidP="00835E9B">
      <w:r>
        <w:lastRenderedPageBreak/>
        <w:t>Optimization approaches</w:t>
      </w:r>
      <w:r w:rsidR="00D10EDD">
        <w:t xml:space="preserve"> using known trip demands between </w:t>
      </w:r>
      <w:r w:rsidR="00BB610D">
        <w:t xml:space="preserve">zones or candidate locations </w:t>
      </w:r>
      <w:r w:rsidR="00D10EDD">
        <w:t>(</w:t>
      </w:r>
      <w:proofErr w:type="spellStart"/>
      <w:r w:rsidR="00D10EDD">
        <w:t>Frade</w:t>
      </w:r>
      <w:proofErr w:type="spellEnd"/>
      <w:r w:rsidR="00D10EDD">
        <w:t xml:space="preserve"> and Ribeiro, Garcia-</w:t>
      </w:r>
      <w:proofErr w:type="spellStart"/>
      <w:r w:rsidR="00D10EDD">
        <w:t>Palomares</w:t>
      </w:r>
      <w:proofErr w:type="spellEnd"/>
      <w:r w:rsidR="00D10EDD">
        <w:t xml:space="preserve"> et al, </w:t>
      </w:r>
      <w:proofErr w:type="spellStart"/>
      <w:r w:rsidR="00D10EDD">
        <w:t>Caggiani</w:t>
      </w:r>
      <w:proofErr w:type="spellEnd"/>
      <w:r w:rsidR="00D10EDD">
        <w:t xml:space="preserve"> et al</w:t>
      </w:r>
      <w:r w:rsidR="00BD57D3">
        <w:t xml:space="preserve">, </w:t>
      </w:r>
      <w:proofErr w:type="spellStart"/>
      <w:r w:rsidR="00BD57D3">
        <w:t>Celebi</w:t>
      </w:r>
      <w:proofErr w:type="spellEnd"/>
      <w:r w:rsidR="00BD57D3">
        <w:t xml:space="preserve"> et al</w:t>
      </w:r>
      <w:r w:rsidR="00D10EDD">
        <w:t>) typically attempted to maximize the coverage of trips demanded</w:t>
      </w:r>
      <w:r w:rsidR="00BB610D">
        <w:t>. Th</w:t>
      </w:r>
      <w:r w:rsidR="00375CC7">
        <w:t>is typically required data from a travel survey or multimodal transportation demand model</w:t>
      </w:r>
      <w:r w:rsidR="00FD7193">
        <w:t>, which</w:t>
      </w:r>
      <w:r w:rsidR="00802F77">
        <w:t xml:space="preserve"> smaller municipalities or MPO</w:t>
      </w:r>
      <w:r w:rsidR="008A5C44">
        <w:t>s</w:t>
      </w:r>
      <w:r w:rsidR="00802F77">
        <w:t xml:space="preserve"> may not have access to</w:t>
      </w:r>
      <w:r>
        <w:t>.</w:t>
      </w:r>
    </w:p>
    <w:p w14:paraId="437BF605" w14:textId="77777777" w:rsidR="005B3BA2" w:rsidRDefault="005B3BA2" w:rsidP="00835E9B"/>
    <w:p w14:paraId="010EDF11" w14:textId="206C9CA5" w:rsidR="005B3BA2" w:rsidRDefault="005B3BA2" w:rsidP="00835E9B">
      <w:r>
        <w:t>Optimization approaches that modeled or approximated demand from the input criteria discussed above</w:t>
      </w:r>
      <w:r w:rsidR="00517B60">
        <w:t xml:space="preserve"> (Mix et al, Liu et al, Qian et al, </w:t>
      </w:r>
      <w:proofErr w:type="spellStart"/>
      <w:r w:rsidR="00517B60">
        <w:t>Conrow</w:t>
      </w:r>
      <w:proofErr w:type="spellEnd"/>
      <w:r w:rsidR="00517B60">
        <w:t xml:space="preserve"> et al) </w:t>
      </w:r>
      <w:r w:rsidR="008A5C44">
        <w:t xml:space="preserve">instead of using a known O/D matrix might be more feasible for smaller municipalities or MPOs. </w:t>
      </w:r>
      <w:r w:rsidR="00335532">
        <w:t>One approach (</w:t>
      </w:r>
      <w:proofErr w:type="spellStart"/>
      <w:r w:rsidR="00335532">
        <w:t>Conrow</w:t>
      </w:r>
      <w:proofErr w:type="spellEnd"/>
      <w:r w:rsidR="00335532">
        <w:t xml:space="preserve"> et al) simply approximated </w:t>
      </w:r>
      <w:r w:rsidR="009F4752">
        <w:t xml:space="preserve">bike network segments as spatial coverage and </w:t>
      </w:r>
      <w:r w:rsidR="00335532">
        <w:t>population density in proximity to stations</w:t>
      </w:r>
      <w:r w:rsidR="009F4752">
        <w:t xml:space="preserve"> as demand coverage</w:t>
      </w:r>
      <w:r w:rsidR="009748D2">
        <w:t xml:space="preserve"> </w:t>
      </w:r>
      <w:r w:rsidR="00335532">
        <w:t>and used a bi</w:t>
      </w:r>
      <w:r w:rsidR="009748D2">
        <w:t>-</w:t>
      </w:r>
      <w:r w:rsidR="00335532">
        <w:t xml:space="preserve">objective coverage optimization model considering both </w:t>
      </w:r>
      <w:r w:rsidR="009748D2">
        <w:t>coverage problems with an arbitrary importance weight assigned to each objective</w:t>
      </w:r>
      <w:r w:rsidR="00335532">
        <w:t xml:space="preserve">. </w:t>
      </w:r>
      <w:r w:rsidR="00BF1BF1">
        <w:t>Three</w:t>
      </w:r>
      <w:r w:rsidR="008A5C44">
        <w:t xml:space="preserve"> studies modeled the influence of demand indicators</w:t>
      </w:r>
      <w:r w:rsidR="0054209D">
        <w:t xml:space="preserve"> </w:t>
      </w:r>
      <w:r w:rsidR="008A5C44">
        <w:t>on existing urban bikeshare activity data (Mix et al, Liu et al</w:t>
      </w:r>
      <w:r w:rsidR="00BF1BF1">
        <w:t>, Qian et al</w:t>
      </w:r>
      <w:r w:rsidR="008A5C44">
        <w:t>)</w:t>
      </w:r>
      <w:r w:rsidR="0054209D">
        <w:t xml:space="preserve">, </w:t>
      </w:r>
      <w:r w:rsidR="008A5C44">
        <w:t>re-zoned the cit</w:t>
      </w:r>
      <w:r w:rsidR="00BF1BF1">
        <w:t>y</w:t>
      </w:r>
      <w:r w:rsidR="008A5C44">
        <w:t>, generated</w:t>
      </w:r>
      <w:r w:rsidR="00546C74">
        <w:t xml:space="preserve"> trip</w:t>
      </w:r>
      <w:r w:rsidR="008A5C44">
        <w:t xml:space="preserve"> demand between zones using the model, </w:t>
      </w:r>
      <w:r w:rsidR="00546C74">
        <w:t xml:space="preserve">and maximized demand coverage of the generated trips. </w:t>
      </w:r>
      <w:r w:rsidR="0054209D">
        <w:t>In an environment without existing bikeshare, modeling the demand indicators’ effect on trip demand directly is impossible. However, using AHP methods</w:t>
      </w:r>
      <w:r w:rsidR="004868B8">
        <w:t xml:space="preserve"> with transportation professionals in the community</w:t>
      </w:r>
      <w:r w:rsidR="0054209D">
        <w:t xml:space="preserve"> to determine the importance of each input criteria to generating demand </w:t>
      </w:r>
      <w:r w:rsidR="004868B8">
        <w:t xml:space="preserve">in that local context </w:t>
      </w:r>
      <w:r w:rsidR="0054209D">
        <w:t>is a similar approximation.</w:t>
      </w:r>
    </w:p>
    <w:p w14:paraId="1D81D270" w14:textId="77777777" w:rsidR="002440FB" w:rsidRDefault="002440FB" w:rsidP="00835E9B"/>
    <w:p w14:paraId="086AD0F0" w14:textId="6610D67A" w:rsidR="002440FB" w:rsidRDefault="002440FB" w:rsidP="00835E9B">
      <w:r>
        <w:t>Two optimization approaches aimed to minimize cost instead of</w:t>
      </w:r>
      <w:r w:rsidR="00782BB7">
        <w:t xml:space="preserve"> just</w:t>
      </w:r>
      <w:r>
        <w:t xml:space="preserve"> maximizing demand coverage. One (Garcia-Gutierrez et al) used bi-level optimization with the leader (planner) minimizing total multimodal transportation system costs and the follower (users) minimizing travel time</w:t>
      </w:r>
      <w:r w:rsidR="00E344F8">
        <w:t>, which required a lot of data about the existing transportation network.</w:t>
      </w:r>
      <w:r w:rsidR="00782BB7">
        <w:t xml:space="preserve"> The other (</w:t>
      </w:r>
      <w:proofErr w:type="spellStart"/>
      <w:r w:rsidR="00782BB7">
        <w:t>Ghandehari</w:t>
      </w:r>
      <w:proofErr w:type="spellEnd"/>
      <w:r w:rsidR="00782BB7">
        <w:t xml:space="preserve"> et al) used a combinative model aiming to both maximize station utility and minimize cost given AHP-weighted input criteria. </w:t>
      </w:r>
      <w:r w:rsidR="00B34027" w:rsidRPr="00B67332">
        <w:rPr>
          <w:i/>
          <w:iCs/>
        </w:rPr>
        <w:t>(</w:t>
      </w:r>
      <w:r w:rsidR="00B34027" w:rsidRPr="0063747D">
        <w:rPr>
          <w:i/>
          <w:iCs/>
        </w:rPr>
        <w:t>This approach would be very similar to mine if I added cost</w:t>
      </w:r>
      <w:r w:rsidR="00B67332">
        <w:rPr>
          <w:i/>
          <w:iCs/>
        </w:rPr>
        <w:t xml:space="preserve"> of installation, which I might</w:t>
      </w:r>
      <w:r w:rsidR="00B34027" w:rsidRPr="0063747D">
        <w:rPr>
          <w:i/>
          <w:iCs/>
        </w:rPr>
        <w:t>)</w:t>
      </w:r>
    </w:p>
    <w:p w14:paraId="1ED5B59D" w14:textId="77777777" w:rsidR="005B3BA2" w:rsidRDefault="005B3BA2" w:rsidP="00835E9B"/>
    <w:p w14:paraId="0A146889" w14:textId="04B3D149" w:rsidR="00BB5B67" w:rsidRDefault="00331C35" w:rsidP="00835E9B">
      <w:r>
        <w:t xml:space="preserve">All </w:t>
      </w:r>
      <w:r w:rsidR="007E3DDC">
        <w:t>approaches reviewed</w:t>
      </w:r>
      <w:r>
        <w:t xml:space="preserve"> used </w:t>
      </w:r>
      <w:r w:rsidR="00422730">
        <w:t xml:space="preserve">a universe of </w:t>
      </w:r>
      <w:r>
        <w:t>predefined zones or candidate station locations hand-selecte</w:t>
      </w:r>
      <w:r w:rsidR="00422730">
        <w:t xml:space="preserve">d ahead of time.  </w:t>
      </w:r>
      <w:r w:rsidR="007E3DDC">
        <w:t>The</w:t>
      </w:r>
      <w:r w:rsidR="00422730">
        <w:t xml:space="preserve"> approach</w:t>
      </w:r>
      <w:r w:rsidR="007E3DDC">
        <w:t xml:space="preserve"> presented</w:t>
      </w:r>
      <w:r w:rsidR="00422730">
        <w:t xml:space="preserve"> </w:t>
      </w:r>
      <w:r w:rsidR="00335532">
        <w:t xml:space="preserve">in this paper </w:t>
      </w:r>
      <w:r w:rsidR="00422730">
        <w:t>removes this ste</w:t>
      </w:r>
      <w:r w:rsidR="00BC7A1F">
        <w:t xml:space="preserve">p by considering a continuous raster set of </w:t>
      </w:r>
      <w:r w:rsidR="00024921">
        <w:t xml:space="preserve">potential </w:t>
      </w:r>
      <w:r w:rsidR="00BC7A1F">
        <w:t>locations</w:t>
      </w:r>
      <w:r w:rsidR="00855E8E">
        <w:t>, so that selections are possible anywhere in the study area</w:t>
      </w:r>
      <w:r w:rsidR="005F6654">
        <w:t xml:space="preserve">, </w:t>
      </w:r>
      <w:proofErr w:type="gramStart"/>
      <w:r w:rsidR="005F6654">
        <w:t>similar to</w:t>
      </w:r>
      <w:proofErr w:type="gramEnd"/>
      <w:r w:rsidR="005F6654">
        <w:t xml:space="preserve"> the propensity analysis approaches discussed</w:t>
      </w:r>
      <w:r w:rsidR="00EC2566">
        <w:t xml:space="preserve">. </w:t>
      </w:r>
      <w:r w:rsidR="00EE7EFD">
        <w:t xml:space="preserve">Considering the guidance that smaller urban areas partner with local businesses, campuses, or business districts to save on operational costs, </w:t>
      </w:r>
      <w:r w:rsidR="0079513D">
        <w:t>a full set of potential locations</w:t>
      </w:r>
      <w:r w:rsidR="00372848">
        <w:t xml:space="preserve"> </w:t>
      </w:r>
      <w:r w:rsidR="0079513D">
        <w:t>is reasonable</w:t>
      </w:r>
      <w:r w:rsidR="004533BC">
        <w:t>, as stations don’t need to be constrained to intersections or public parks.</w:t>
      </w:r>
    </w:p>
    <w:p w14:paraId="197D0FF7" w14:textId="77777777" w:rsidR="00027EF0" w:rsidRDefault="00027EF0" w:rsidP="00835E9B"/>
    <w:p w14:paraId="69DEF364" w14:textId="3E95D08D" w:rsidR="00027EF0" w:rsidRDefault="00027EF0" w:rsidP="00835E9B">
      <w:r>
        <w:t xml:space="preserve">A </w:t>
      </w:r>
      <w:r w:rsidR="005118B8">
        <w:t>summary</w:t>
      </w:r>
      <w:r>
        <w:t xml:space="preserve"> of all station siting optimization approaches</w:t>
      </w:r>
      <w:r w:rsidR="005118B8">
        <w:t xml:space="preserve"> reviewed</w:t>
      </w:r>
      <w:r>
        <w:t xml:space="preserve"> is presented below</w:t>
      </w:r>
      <w:r w:rsidR="005118B8">
        <w:t xml:space="preserve"> in Table 2</w:t>
      </w:r>
      <w:r>
        <w:t>.</w:t>
      </w:r>
    </w:p>
    <w:p w14:paraId="7260CB04" w14:textId="77777777" w:rsidR="005118B8" w:rsidRDefault="005118B8" w:rsidP="00835E9B"/>
    <w:p w14:paraId="2BC924B2" w14:textId="77777777" w:rsidR="005118B8" w:rsidRDefault="005118B8" w:rsidP="00835E9B"/>
    <w:p w14:paraId="134B73C1" w14:textId="77777777" w:rsidR="005118B8" w:rsidRDefault="005118B8" w:rsidP="00835E9B"/>
    <w:p w14:paraId="4E149F9F" w14:textId="77777777" w:rsidR="005118B8" w:rsidRDefault="005118B8" w:rsidP="00835E9B"/>
    <w:p w14:paraId="131465F9" w14:textId="77777777" w:rsidR="005118B8" w:rsidRDefault="005118B8" w:rsidP="00835E9B"/>
    <w:p w14:paraId="1D814545" w14:textId="77777777" w:rsidR="005118B8" w:rsidRDefault="005118B8" w:rsidP="00835E9B"/>
    <w:p w14:paraId="5DE634D8" w14:textId="77777777" w:rsidR="00B852ED" w:rsidRDefault="00B852ED" w:rsidP="00835E9B"/>
    <w:p w14:paraId="29E962C8" w14:textId="13812E9F" w:rsidR="00027EF0" w:rsidRPr="005118B8" w:rsidRDefault="00027EF0" w:rsidP="00835E9B">
      <w:pPr>
        <w:rPr>
          <w:b/>
          <w:bCs/>
        </w:rPr>
      </w:pPr>
      <w:r w:rsidRPr="005118B8">
        <w:rPr>
          <w:b/>
          <w:bCs/>
        </w:rPr>
        <w:lastRenderedPageBreak/>
        <w:t xml:space="preserve">Table 2: </w:t>
      </w:r>
      <w:r w:rsidR="005118B8" w:rsidRPr="005118B8">
        <w:rPr>
          <w:b/>
          <w:bCs/>
        </w:rPr>
        <w:t>Optimization Approaches used in Existing Literature</w:t>
      </w:r>
    </w:p>
    <w:tbl>
      <w:tblPr>
        <w:tblStyle w:val="TableGrid"/>
        <w:tblW w:w="0" w:type="auto"/>
        <w:tblLook w:val="04A0" w:firstRow="1" w:lastRow="0" w:firstColumn="1" w:lastColumn="0" w:noHBand="0" w:noVBand="1"/>
      </w:tblPr>
      <w:tblGrid>
        <w:gridCol w:w="1539"/>
        <w:gridCol w:w="1553"/>
        <w:gridCol w:w="1649"/>
        <w:gridCol w:w="1559"/>
        <w:gridCol w:w="1640"/>
        <w:gridCol w:w="1410"/>
      </w:tblGrid>
      <w:tr w:rsidR="00027EF0" w:rsidRPr="00027EF0" w14:paraId="6ED42F06" w14:textId="77777777" w:rsidTr="004356C3">
        <w:tc>
          <w:tcPr>
            <w:tcW w:w="2249" w:type="dxa"/>
            <w:vAlign w:val="center"/>
          </w:tcPr>
          <w:p w14:paraId="3FC781EE" w14:textId="77777777" w:rsidR="00027EF0" w:rsidRPr="00027EF0" w:rsidRDefault="00027EF0" w:rsidP="004356C3">
            <w:pPr>
              <w:jc w:val="center"/>
              <w:rPr>
                <w:b/>
                <w:bCs/>
                <w:sz w:val="15"/>
                <w:szCs w:val="15"/>
              </w:rPr>
            </w:pPr>
            <w:r w:rsidRPr="00027EF0">
              <w:rPr>
                <w:b/>
                <w:bCs/>
                <w:sz w:val="15"/>
                <w:szCs w:val="15"/>
              </w:rPr>
              <w:t>Paper</w:t>
            </w:r>
          </w:p>
        </w:tc>
        <w:tc>
          <w:tcPr>
            <w:tcW w:w="2139" w:type="dxa"/>
            <w:vAlign w:val="center"/>
          </w:tcPr>
          <w:p w14:paraId="63D06651" w14:textId="77777777" w:rsidR="00027EF0" w:rsidRPr="00027EF0" w:rsidRDefault="00027EF0" w:rsidP="004356C3">
            <w:pPr>
              <w:jc w:val="center"/>
              <w:rPr>
                <w:b/>
                <w:bCs/>
                <w:sz w:val="15"/>
                <w:szCs w:val="15"/>
              </w:rPr>
            </w:pPr>
            <w:r w:rsidRPr="00027EF0">
              <w:rPr>
                <w:b/>
                <w:bCs/>
                <w:sz w:val="15"/>
                <w:szCs w:val="15"/>
              </w:rPr>
              <w:t>Candidate Locations</w:t>
            </w:r>
          </w:p>
        </w:tc>
        <w:tc>
          <w:tcPr>
            <w:tcW w:w="2250" w:type="dxa"/>
            <w:vAlign w:val="center"/>
          </w:tcPr>
          <w:p w14:paraId="4CF22FFB" w14:textId="77777777" w:rsidR="00027EF0" w:rsidRPr="00027EF0" w:rsidRDefault="00027EF0" w:rsidP="004356C3">
            <w:pPr>
              <w:jc w:val="center"/>
              <w:rPr>
                <w:b/>
                <w:bCs/>
                <w:sz w:val="15"/>
                <w:szCs w:val="15"/>
              </w:rPr>
            </w:pPr>
            <w:r w:rsidRPr="00027EF0">
              <w:rPr>
                <w:b/>
                <w:bCs/>
                <w:sz w:val="15"/>
                <w:szCs w:val="15"/>
              </w:rPr>
              <w:t>Input Criteria Considered</w:t>
            </w:r>
          </w:p>
        </w:tc>
        <w:tc>
          <w:tcPr>
            <w:tcW w:w="2090" w:type="dxa"/>
            <w:vAlign w:val="center"/>
          </w:tcPr>
          <w:p w14:paraId="02278202" w14:textId="77777777" w:rsidR="00027EF0" w:rsidRPr="00027EF0" w:rsidRDefault="00027EF0" w:rsidP="004356C3">
            <w:pPr>
              <w:jc w:val="center"/>
              <w:rPr>
                <w:b/>
                <w:bCs/>
                <w:sz w:val="15"/>
                <w:szCs w:val="15"/>
              </w:rPr>
            </w:pPr>
            <w:r w:rsidRPr="00027EF0">
              <w:rPr>
                <w:b/>
                <w:bCs/>
                <w:sz w:val="15"/>
                <w:szCs w:val="15"/>
              </w:rPr>
              <w:t>Weighting Method</w:t>
            </w:r>
          </w:p>
        </w:tc>
        <w:tc>
          <w:tcPr>
            <w:tcW w:w="2266" w:type="dxa"/>
            <w:vAlign w:val="center"/>
          </w:tcPr>
          <w:p w14:paraId="40B347B1" w14:textId="77777777" w:rsidR="00027EF0" w:rsidRPr="00027EF0" w:rsidRDefault="00027EF0" w:rsidP="004356C3">
            <w:pPr>
              <w:jc w:val="center"/>
              <w:rPr>
                <w:b/>
                <w:bCs/>
                <w:sz w:val="15"/>
                <w:szCs w:val="15"/>
              </w:rPr>
            </w:pPr>
            <w:r w:rsidRPr="00027EF0">
              <w:rPr>
                <w:b/>
                <w:bCs/>
                <w:sz w:val="15"/>
                <w:szCs w:val="15"/>
              </w:rPr>
              <w:t>Station Selection Method</w:t>
            </w:r>
          </w:p>
        </w:tc>
        <w:tc>
          <w:tcPr>
            <w:tcW w:w="1956" w:type="dxa"/>
            <w:vAlign w:val="center"/>
          </w:tcPr>
          <w:p w14:paraId="38D21749" w14:textId="77777777" w:rsidR="00027EF0" w:rsidRPr="00027EF0" w:rsidRDefault="00027EF0" w:rsidP="004356C3">
            <w:pPr>
              <w:jc w:val="center"/>
              <w:rPr>
                <w:b/>
                <w:bCs/>
                <w:sz w:val="15"/>
                <w:szCs w:val="15"/>
              </w:rPr>
            </w:pPr>
            <w:r w:rsidRPr="00027EF0">
              <w:rPr>
                <w:b/>
                <w:bCs/>
                <w:sz w:val="15"/>
                <w:szCs w:val="15"/>
              </w:rPr>
              <w:t>Constraints</w:t>
            </w:r>
          </w:p>
        </w:tc>
      </w:tr>
      <w:tr w:rsidR="00027EF0" w:rsidRPr="00027EF0" w14:paraId="371A2A14" w14:textId="77777777" w:rsidTr="004356C3">
        <w:tc>
          <w:tcPr>
            <w:tcW w:w="12950" w:type="dxa"/>
            <w:gridSpan w:val="6"/>
          </w:tcPr>
          <w:p w14:paraId="5D1CDB69" w14:textId="77777777" w:rsidR="00027EF0" w:rsidRPr="00027EF0" w:rsidRDefault="00027EF0" w:rsidP="004356C3">
            <w:pPr>
              <w:jc w:val="center"/>
              <w:rPr>
                <w:b/>
                <w:bCs/>
                <w:sz w:val="15"/>
                <w:szCs w:val="15"/>
              </w:rPr>
            </w:pPr>
            <w:r w:rsidRPr="00027EF0">
              <w:rPr>
                <w:b/>
                <w:bCs/>
                <w:sz w:val="15"/>
                <w:szCs w:val="15"/>
              </w:rPr>
              <w:t>Ranking of Candidates</w:t>
            </w:r>
          </w:p>
        </w:tc>
      </w:tr>
      <w:tr w:rsidR="00027EF0" w:rsidRPr="00027EF0" w14:paraId="329F8F79" w14:textId="77777777" w:rsidTr="004356C3">
        <w:tc>
          <w:tcPr>
            <w:tcW w:w="2249" w:type="dxa"/>
            <w:vAlign w:val="center"/>
          </w:tcPr>
          <w:p w14:paraId="01CD206E" w14:textId="77777777" w:rsidR="00027EF0" w:rsidRPr="00027EF0" w:rsidRDefault="00027EF0" w:rsidP="004356C3">
            <w:pPr>
              <w:jc w:val="center"/>
              <w:rPr>
                <w:sz w:val="15"/>
                <w:szCs w:val="15"/>
              </w:rPr>
            </w:pPr>
            <w:r w:rsidRPr="00027EF0">
              <w:rPr>
                <w:sz w:val="15"/>
                <w:szCs w:val="15"/>
              </w:rPr>
              <w:t>Cetinkaya (2017)</w:t>
            </w:r>
          </w:p>
        </w:tc>
        <w:tc>
          <w:tcPr>
            <w:tcW w:w="2139" w:type="dxa"/>
          </w:tcPr>
          <w:p w14:paraId="3561C34D" w14:textId="77777777" w:rsidR="00027EF0" w:rsidRPr="00027EF0" w:rsidRDefault="00027EF0" w:rsidP="004356C3">
            <w:pPr>
              <w:rPr>
                <w:sz w:val="15"/>
                <w:szCs w:val="15"/>
              </w:rPr>
            </w:pPr>
            <w:r w:rsidRPr="00027EF0">
              <w:rPr>
                <w:sz w:val="15"/>
                <w:szCs w:val="15"/>
              </w:rPr>
              <w:t>Candidate stations</w:t>
            </w:r>
          </w:p>
        </w:tc>
        <w:tc>
          <w:tcPr>
            <w:tcW w:w="2250" w:type="dxa"/>
          </w:tcPr>
          <w:p w14:paraId="028E2251" w14:textId="77777777" w:rsidR="00027EF0" w:rsidRPr="00027EF0" w:rsidRDefault="00027EF0" w:rsidP="004356C3">
            <w:pPr>
              <w:rPr>
                <w:sz w:val="15"/>
                <w:szCs w:val="15"/>
              </w:rPr>
            </w:pPr>
            <w:r w:rsidRPr="00027EF0">
              <w:rPr>
                <w:sz w:val="15"/>
                <w:szCs w:val="15"/>
              </w:rPr>
              <w:t>Demand indicators with proximity</w:t>
            </w:r>
          </w:p>
        </w:tc>
        <w:tc>
          <w:tcPr>
            <w:tcW w:w="2090" w:type="dxa"/>
          </w:tcPr>
          <w:p w14:paraId="21C73087" w14:textId="77777777" w:rsidR="00027EF0" w:rsidRPr="00027EF0" w:rsidRDefault="00027EF0" w:rsidP="004356C3">
            <w:pPr>
              <w:rPr>
                <w:sz w:val="15"/>
                <w:szCs w:val="15"/>
              </w:rPr>
            </w:pPr>
            <w:r w:rsidRPr="00027EF0">
              <w:rPr>
                <w:sz w:val="15"/>
                <w:szCs w:val="15"/>
              </w:rPr>
              <w:t>Fuzzy AHP</w:t>
            </w:r>
          </w:p>
        </w:tc>
        <w:tc>
          <w:tcPr>
            <w:tcW w:w="2266" w:type="dxa"/>
          </w:tcPr>
          <w:p w14:paraId="719D803C" w14:textId="77777777" w:rsidR="00027EF0" w:rsidRPr="00027EF0" w:rsidRDefault="00027EF0" w:rsidP="004356C3">
            <w:pPr>
              <w:rPr>
                <w:sz w:val="15"/>
                <w:szCs w:val="15"/>
              </w:rPr>
            </w:pPr>
            <w:r w:rsidRPr="00027EF0">
              <w:rPr>
                <w:sz w:val="15"/>
                <w:szCs w:val="15"/>
              </w:rPr>
              <w:t>TOPSIS ranking</w:t>
            </w:r>
          </w:p>
        </w:tc>
        <w:tc>
          <w:tcPr>
            <w:tcW w:w="1956" w:type="dxa"/>
          </w:tcPr>
          <w:p w14:paraId="424D82CB" w14:textId="77777777" w:rsidR="00027EF0" w:rsidRPr="00027EF0" w:rsidRDefault="00027EF0" w:rsidP="004356C3">
            <w:pPr>
              <w:rPr>
                <w:sz w:val="15"/>
                <w:szCs w:val="15"/>
              </w:rPr>
            </w:pPr>
            <w:r w:rsidRPr="00027EF0">
              <w:rPr>
                <w:sz w:val="15"/>
                <w:szCs w:val="15"/>
              </w:rPr>
              <w:t>NA</w:t>
            </w:r>
          </w:p>
        </w:tc>
      </w:tr>
      <w:tr w:rsidR="00027EF0" w:rsidRPr="00027EF0" w14:paraId="3365E227" w14:textId="77777777" w:rsidTr="004356C3">
        <w:tc>
          <w:tcPr>
            <w:tcW w:w="2249" w:type="dxa"/>
            <w:vAlign w:val="center"/>
          </w:tcPr>
          <w:p w14:paraId="2E4FD3C0" w14:textId="77777777" w:rsidR="00027EF0" w:rsidRPr="00027EF0" w:rsidRDefault="00027EF0" w:rsidP="004356C3">
            <w:pPr>
              <w:jc w:val="center"/>
              <w:rPr>
                <w:sz w:val="15"/>
                <w:szCs w:val="15"/>
              </w:rPr>
            </w:pPr>
            <w:proofErr w:type="spellStart"/>
            <w:r w:rsidRPr="00027EF0">
              <w:rPr>
                <w:sz w:val="15"/>
                <w:szCs w:val="15"/>
              </w:rPr>
              <w:t>Eren</w:t>
            </w:r>
            <w:proofErr w:type="spellEnd"/>
            <w:r w:rsidRPr="00027EF0">
              <w:rPr>
                <w:sz w:val="15"/>
                <w:szCs w:val="15"/>
              </w:rPr>
              <w:t xml:space="preserve"> et al (2022)</w:t>
            </w:r>
          </w:p>
        </w:tc>
        <w:tc>
          <w:tcPr>
            <w:tcW w:w="2139" w:type="dxa"/>
          </w:tcPr>
          <w:p w14:paraId="477B2878" w14:textId="77777777" w:rsidR="00027EF0" w:rsidRPr="00027EF0" w:rsidRDefault="00027EF0" w:rsidP="004356C3">
            <w:pPr>
              <w:rPr>
                <w:sz w:val="15"/>
                <w:szCs w:val="15"/>
              </w:rPr>
            </w:pPr>
            <w:r w:rsidRPr="00027EF0">
              <w:rPr>
                <w:sz w:val="15"/>
                <w:szCs w:val="15"/>
              </w:rPr>
              <w:t>Existing station locations</w:t>
            </w:r>
          </w:p>
        </w:tc>
        <w:tc>
          <w:tcPr>
            <w:tcW w:w="2250" w:type="dxa"/>
          </w:tcPr>
          <w:p w14:paraId="5ACC5484" w14:textId="77777777" w:rsidR="00027EF0" w:rsidRPr="00027EF0" w:rsidRDefault="00027EF0" w:rsidP="004356C3">
            <w:pPr>
              <w:rPr>
                <w:sz w:val="15"/>
                <w:szCs w:val="15"/>
              </w:rPr>
            </w:pPr>
            <w:r w:rsidRPr="00027EF0">
              <w:rPr>
                <w:sz w:val="15"/>
                <w:szCs w:val="15"/>
              </w:rPr>
              <w:t>Demand indicators with fuzzy buffer</w:t>
            </w:r>
          </w:p>
        </w:tc>
        <w:tc>
          <w:tcPr>
            <w:tcW w:w="2090" w:type="dxa"/>
          </w:tcPr>
          <w:p w14:paraId="6BD32C62" w14:textId="77777777" w:rsidR="00027EF0" w:rsidRPr="00027EF0" w:rsidRDefault="00027EF0" w:rsidP="004356C3">
            <w:pPr>
              <w:rPr>
                <w:sz w:val="15"/>
                <w:szCs w:val="15"/>
              </w:rPr>
            </w:pPr>
            <w:r w:rsidRPr="00027EF0">
              <w:rPr>
                <w:sz w:val="15"/>
                <w:szCs w:val="15"/>
              </w:rPr>
              <w:t>AHP for two categories: transportation and recreation</w:t>
            </w:r>
          </w:p>
        </w:tc>
        <w:tc>
          <w:tcPr>
            <w:tcW w:w="2266" w:type="dxa"/>
          </w:tcPr>
          <w:p w14:paraId="1F5AA30A" w14:textId="77777777" w:rsidR="00027EF0" w:rsidRPr="00027EF0" w:rsidRDefault="00027EF0" w:rsidP="004356C3">
            <w:pPr>
              <w:rPr>
                <w:sz w:val="15"/>
                <w:szCs w:val="15"/>
              </w:rPr>
            </w:pPr>
            <w:r w:rsidRPr="00027EF0">
              <w:rPr>
                <w:sz w:val="15"/>
                <w:szCs w:val="15"/>
              </w:rPr>
              <w:t>VIKOR method and new Psychometric-VIKOR method for ranking</w:t>
            </w:r>
          </w:p>
        </w:tc>
        <w:tc>
          <w:tcPr>
            <w:tcW w:w="1956" w:type="dxa"/>
          </w:tcPr>
          <w:p w14:paraId="732D7EC9" w14:textId="77777777" w:rsidR="00027EF0" w:rsidRPr="00027EF0" w:rsidRDefault="00027EF0" w:rsidP="004356C3">
            <w:pPr>
              <w:rPr>
                <w:sz w:val="15"/>
                <w:szCs w:val="15"/>
              </w:rPr>
            </w:pPr>
            <w:r w:rsidRPr="00027EF0">
              <w:rPr>
                <w:sz w:val="15"/>
                <w:szCs w:val="15"/>
              </w:rPr>
              <w:t xml:space="preserve"> NA</w:t>
            </w:r>
          </w:p>
        </w:tc>
      </w:tr>
      <w:tr w:rsidR="00027EF0" w:rsidRPr="00027EF0" w14:paraId="312F608C" w14:textId="77777777" w:rsidTr="004356C3">
        <w:tc>
          <w:tcPr>
            <w:tcW w:w="2249" w:type="dxa"/>
            <w:vAlign w:val="center"/>
          </w:tcPr>
          <w:p w14:paraId="66A1B2D4" w14:textId="77777777" w:rsidR="00027EF0" w:rsidRPr="00027EF0" w:rsidRDefault="00027EF0" w:rsidP="004356C3">
            <w:pPr>
              <w:jc w:val="center"/>
              <w:rPr>
                <w:sz w:val="15"/>
                <w:szCs w:val="15"/>
              </w:rPr>
            </w:pPr>
            <w:proofErr w:type="spellStart"/>
            <w:r w:rsidRPr="00027EF0">
              <w:rPr>
                <w:sz w:val="15"/>
                <w:szCs w:val="15"/>
              </w:rPr>
              <w:t>Kabak</w:t>
            </w:r>
            <w:proofErr w:type="spellEnd"/>
            <w:r w:rsidRPr="00027EF0">
              <w:rPr>
                <w:sz w:val="15"/>
                <w:szCs w:val="15"/>
              </w:rPr>
              <w:t xml:space="preserve"> et al (2018)</w:t>
            </w:r>
          </w:p>
        </w:tc>
        <w:tc>
          <w:tcPr>
            <w:tcW w:w="2139" w:type="dxa"/>
          </w:tcPr>
          <w:p w14:paraId="645665DA" w14:textId="77777777" w:rsidR="00027EF0" w:rsidRPr="00027EF0" w:rsidRDefault="00027EF0" w:rsidP="004356C3">
            <w:pPr>
              <w:rPr>
                <w:sz w:val="15"/>
                <w:szCs w:val="15"/>
              </w:rPr>
            </w:pPr>
            <w:r w:rsidRPr="00027EF0">
              <w:rPr>
                <w:sz w:val="15"/>
                <w:szCs w:val="15"/>
              </w:rPr>
              <w:t>Candidate locations</w:t>
            </w:r>
          </w:p>
        </w:tc>
        <w:tc>
          <w:tcPr>
            <w:tcW w:w="2250" w:type="dxa"/>
          </w:tcPr>
          <w:p w14:paraId="618E392E" w14:textId="77777777" w:rsidR="00027EF0" w:rsidRPr="00027EF0" w:rsidRDefault="00027EF0" w:rsidP="004356C3">
            <w:pPr>
              <w:rPr>
                <w:sz w:val="15"/>
                <w:szCs w:val="15"/>
              </w:rPr>
            </w:pPr>
            <w:r w:rsidRPr="00027EF0">
              <w:rPr>
                <w:sz w:val="15"/>
                <w:szCs w:val="15"/>
              </w:rPr>
              <w:t>Demand indicators proximity</w:t>
            </w:r>
          </w:p>
        </w:tc>
        <w:tc>
          <w:tcPr>
            <w:tcW w:w="2090" w:type="dxa"/>
          </w:tcPr>
          <w:p w14:paraId="28348383" w14:textId="77777777" w:rsidR="00027EF0" w:rsidRPr="00027EF0" w:rsidRDefault="00027EF0" w:rsidP="004356C3">
            <w:pPr>
              <w:rPr>
                <w:sz w:val="15"/>
                <w:szCs w:val="15"/>
              </w:rPr>
            </w:pPr>
            <w:r w:rsidRPr="00027EF0">
              <w:rPr>
                <w:sz w:val="15"/>
                <w:szCs w:val="15"/>
              </w:rPr>
              <w:t>AHP</w:t>
            </w:r>
          </w:p>
        </w:tc>
        <w:tc>
          <w:tcPr>
            <w:tcW w:w="2266" w:type="dxa"/>
          </w:tcPr>
          <w:p w14:paraId="01A5FE5A" w14:textId="77777777" w:rsidR="00027EF0" w:rsidRPr="00027EF0" w:rsidRDefault="00027EF0" w:rsidP="004356C3">
            <w:pPr>
              <w:rPr>
                <w:sz w:val="15"/>
                <w:szCs w:val="15"/>
              </w:rPr>
            </w:pPr>
            <w:r w:rsidRPr="00027EF0">
              <w:rPr>
                <w:sz w:val="15"/>
                <w:szCs w:val="15"/>
              </w:rPr>
              <w:t>MOORA ranking</w:t>
            </w:r>
          </w:p>
        </w:tc>
        <w:tc>
          <w:tcPr>
            <w:tcW w:w="1956" w:type="dxa"/>
          </w:tcPr>
          <w:p w14:paraId="581B7A4A" w14:textId="77777777" w:rsidR="00027EF0" w:rsidRPr="00027EF0" w:rsidRDefault="00027EF0" w:rsidP="004356C3">
            <w:pPr>
              <w:rPr>
                <w:sz w:val="15"/>
                <w:szCs w:val="15"/>
              </w:rPr>
            </w:pPr>
            <w:r w:rsidRPr="00027EF0">
              <w:rPr>
                <w:sz w:val="15"/>
                <w:szCs w:val="15"/>
              </w:rPr>
              <w:t>NA</w:t>
            </w:r>
          </w:p>
        </w:tc>
      </w:tr>
      <w:tr w:rsidR="00027EF0" w:rsidRPr="00027EF0" w14:paraId="2912B8AE" w14:textId="77777777" w:rsidTr="004356C3">
        <w:tc>
          <w:tcPr>
            <w:tcW w:w="2249" w:type="dxa"/>
            <w:vAlign w:val="center"/>
          </w:tcPr>
          <w:p w14:paraId="01979CE0" w14:textId="77777777" w:rsidR="00027EF0" w:rsidRPr="00027EF0" w:rsidRDefault="00027EF0" w:rsidP="004356C3">
            <w:pPr>
              <w:jc w:val="center"/>
              <w:rPr>
                <w:sz w:val="15"/>
                <w:szCs w:val="15"/>
              </w:rPr>
            </w:pPr>
            <w:r w:rsidRPr="00027EF0">
              <w:rPr>
                <w:sz w:val="15"/>
                <w:szCs w:val="15"/>
              </w:rPr>
              <w:t>Salih-</w:t>
            </w:r>
            <w:proofErr w:type="spellStart"/>
            <w:r w:rsidRPr="00027EF0">
              <w:rPr>
                <w:sz w:val="15"/>
                <w:szCs w:val="15"/>
              </w:rPr>
              <w:t>Elamin</w:t>
            </w:r>
            <w:proofErr w:type="spellEnd"/>
            <w:r w:rsidRPr="00027EF0">
              <w:rPr>
                <w:sz w:val="15"/>
                <w:szCs w:val="15"/>
              </w:rPr>
              <w:t xml:space="preserve"> and Al-</w:t>
            </w:r>
            <w:proofErr w:type="spellStart"/>
            <w:r w:rsidRPr="00027EF0">
              <w:rPr>
                <w:sz w:val="15"/>
                <w:szCs w:val="15"/>
              </w:rPr>
              <w:t>Deek</w:t>
            </w:r>
            <w:proofErr w:type="spellEnd"/>
            <w:r w:rsidRPr="00027EF0">
              <w:rPr>
                <w:sz w:val="15"/>
                <w:szCs w:val="15"/>
              </w:rPr>
              <w:t xml:space="preserve"> (2020)</w:t>
            </w:r>
          </w:p>
        </w:tc>
        <w:tc>
          <w:tcPr>
            <w:tcW w:w="2139" w:type="dxa"/>
          </w:tcPr>
          <w:p w14:paraId="3069F1D3" w14:textId="77777777" w:rsidR="00027EF0" w:rsidRPr="00027EF0" w:rsidRDefault="00027EF0" w:rsidP="004356C3">
            <w:pPr>
              <w:rPr>
                <w:sz w:val="15"/>
                <w:szCs w:val="15"/>
              </w:rPr>
            </w:pPr>
            <w:r w:rsidRPr="00027EF0">
              <w:rPr>
                <w:sz w:val="15"/>
                <w:szCs w:val="15"/>
              </w:rPr>
              <w:t>Existing station locations</w:t>
            </w:r>
          </w:p>
        </w:tc>
        <w:tc>
          <w:tcPr>
            <w:tcW w:w="2250" w:type="dxa"/>
          </w:tcPr>
          <w:p w14:paraId="6B6F0B2F" w14:textId="77777777" w:rsidR="00027EF0" w:rsidRPr="00027EF0" w:rsidRDefault="00027EF0" w:rsidP="004356C3">
            <w:pPr>
              <w:rPr>
                <w:sz w:val="15"/>
                <w:szCs w:val="15"/>
              </w:rPr>
            </w:pPr>
            <w:r w:rsidRPr="00027EF0">
              <w:rPr>
                <w:sz w:val="15"/>
                <w:szCs w:val="15"/>
              </w:rPr>
              <w:t>Closeness, Degree, Betweenness centrality metrics between station pairs in service distance</w:t>
            </w:r>
          </w:p>
        </w:tc>
        <w:tc>
          <w:tcPr>
            <w:tcW w:w="2090" w:type="dxa"/>
          </w:tcPr>
          <w:p w14:paraId="1E0D061F" w14:textId="77777777" w:rsidR="00027EF0" w:rsidRPr="00027EF0" w:rsidRDefault="00027EF0" w:rsidP="004356C3">
            <w:pPr>
              <w:rPr>
                <w:sz w:val="15"/>
                <w:szCs w:val="15"/>
              </w:rPr>
            </w:pPr>
            <w:r w:rsidRPr="00027EF0">
              <w:rPr>
                <w:sz w:val="15"/>
                <w:szCs w:val="15"/>
              </w:rPr>
              <w:t>AHP for three measures</w:t>
            </w:r>
          </w:p>
        </w:tc>
        <w:tc>
          <w:tcPr>
            <w:tcW w:w="2266" w:type="dxa"/>
          </w:tcPr>
          <w:p w14:paraId="74B08EAD" w14:textId="77777777" w:rsidR="00027EF0" w:rsidRPr="00027EF0" w:rsidRDefault="00027EF0" w:rsidP="004356C3">
            <w:pPr>
              <w:rPr>
                <w:sz w:val="15"/>
                <w:szCs w:val="15"/>
              </w:rPr>
            </w:pPr>
            <w:r w:rsidRPr="00027EF0">
              <w:rPr>
                <w:sz w:val="15"/>
                <w:szCs w:val="15"/>
              </w:rPr>
              <w:t>TOPSIS ranking</w:t>
            </w:r>
          </w:p>
        </w:tc>
        <w:tc>
          <w:tcPr>
            <w:tcW w:w="1956" w:type="dxa"/>
          </w:tcPr>
          <w:p w14:paraId="345E84A0" w14:textId="77777777" w:rsidR="00027EF0" w:rsidRPr="00027EF0" w:rsidRDefault="00027EF0" w:rsidP="004356C3">
            <w:pPr>
              <w:rPr>
                <w:sz w:val="15"/>
                <w:szCs w:val="15"/>
              </w:rPr>
            </w:pPr>
            <w:r w:rsidRPr="00027EF0">
              <w:rPr>
                <w:sz w:val="15"/>
                <w:szCs w:val="15"/>
              </w:rPr>
              <w:t>Maximum service distance for CC, DC, BC (multiple considered)</w:t>
            </w:r>
          </w:p>
        </w:tc>
      </w:tr>
      <w:tr w:rsidR="00027EF0" w:rsidRPr="00027EF0" w14:paraId="3E32015B" w14:textId="77777777" w:rsidTr="004356C3">
        <w:tc>
          <w:tcPr>
            <w:tcW w:w="2249" w:type="dxa"/>
            <w:vAlign w:val="center"/>
          </w:tcPr>
          <w:p w14:paraId="4E43BAC9" w14:textId="77777777" w:rsidR="00027EF0" w:rsidRPr="00027EF0" w:rsidRDefault="00027EF0" w:rsidP="004356C3">
            <w:pPr>
              <w:jc w:val="center"/>
              <w:rPr>
                <w:sz w:val="15"/>
                <w:szCs w:val="15"/>
              </w:rPr>
            </w:pPr>
            <w:proofErr w:type="spellStart"/>
            <w:r w:rsidRPr="00027EF0">
              <w:rPr>
                <w:sz w:val="15"/>
                <w:szCs w:val="15"/>
              </w:rPr>
              <w:t>Wuerzer</w:t>
            </w:r>
            <w:proofErr w:type="spellEnd"/>
            <w:r w:rsidRPr="00027EF0">
              <w:rPr>
                <w:sz w:val="15"/>
                <w:szCs w:val="15"/>
              </w:rPr>
              <w:t xml:space="preserve"> et al (2012)</w:t>
            </w:r>
          </w:p>
        </w:tc>
        <w:tc>
          <w:tcPr>
            <w:tcW w:w="2139" w:type="dxa"/>
          </w:tcPr>
          <w:p w14:paraId="1761871D" w14:textId="77777777" w:rsidR="00027EF0" w:rsidRPr="00027EF0" w:rsidRDefault="00027EF0" w:rsidP="004356C3">
            <w:pPr>
              <w:rPr>
                <w:sz w:val="15"/>
                <w:szCs w:val="15"/>
              </w:rPr>
            </w:pPr>
            <w:r w:rsidRPr="00027EF0">
              <w:rPr>
                <w:sz w:val="15"/>
                <w:szCs w:val="15"/>
              </w:rPr>
              <w:t xml:space="preserve">Continuous service area considered </w:t>
            </w:r>
          </w:p>
        </w:tc>
        <w:tc>
          <w:tcPr>
            <w:tcW w:w="2250" w:type="dxa"/>
          </w:tcPr>
          <w:p w14:paraId="13893210" w14:textId="77777777" w:rsidR="00027EF0" w:rsidRPr="00027EF0" w:rsidRDefault="00027EF0" w:rsidP="004356C3">
            <w:pPr>
              <w:rPr>
                <w:sz w:val="15"/>
                <w:szCs w:val="15"/>
              </w:rPr>
            </w:pPr>
            <w:r w:rsidRPr="00027EF0">
              <w:rPr>
                <w:sz w:val="15"/>
                <w:szCs w:val="15"/>
              </w:rPr>
              <w:t>Demand indicators with buffer</w:t>
            </w:r>
          </w:p>
        </w:tc>
        <w:tc>
          <w:tcPr>
            <w:tcW w:w="2090" w:type="dxa"/>
          </w:tcPr>
          <w:p w14:paraId="11525114" w14:textId="77777777" w:rsidR="00027EF0" w:rsidRPr="00027EF0" w:rsidRDefault="00027EF0" w:rsidP="004356C3">
            <w:pPr>
              <w:rPr>
                <w:sz w:val="15"/>
                <w:szCs w:val="15"/>
              </w:rPr>
            </w:pPr>
            <w:r w:rsidRPr="00027EF0">
              <w:rPr>
                <w:sz w:val="15"/>
                <w:szCs w:val="15"/>
              </w:rPr>
              <w:t>Arbitrarily selected (Los Angeles’ method)</w:t>
            </w:r>
          </w:p>
        </w:tc>
        <w:tc>
          <w:tcPr>
            <w:tcW w:w="2266" w:type="dxa"/>
          </w:tcPr>
          <w:p w14:paraId="1DFD27C3" w14:textId="77777777" w:rsidR="00027EF0" w:rsidRPr="00027EF0" w:rsidRDefault="00027EF0" w:rsidP="004356C3">
            <w:pPr>
              <w:rPr>
                <w:sz w:val="15"/>
                <w:szCs w:val="15"/>
              </w:rPr>
            </w:pPr>
            <w:r w:rsidRPr="00027EF0">
              <w:rPr>
                <w:sz w:val="15"/>
                <w:szCs w:val="15"/>
              </w:rPr>
              <w:t>Hand-selected locations, optimized # of stations/bikes</w:t>
            </w:r>
          </w:p>
        </w:tc>
        <w:tc>
          <w:tcPr>
            <w:tcW w:w="1956" w:type="dxa"/>
          </w:tcPr>
          <w:p w14:paraId="13EB1FDC" w14:textId="77777777" w:rsidR="00027EF0" w:rsidRPr="00027EF0" w:rsidRDefault="00027EF0" w:rsidP="004356C3">
            <w:pPr>
              <w:rPr>
                <w:sz w:val="15"/>
                <w:szCs w:val="15"/>
              </w:rPr>
            </w:pPr>
            <w:r w:rsidRPr="00027EF0">
              <w:rPr>
                <w:sz w:val="15"/>
                <w:szCs w:val="15"/>
              </w:rPr>
              <w:t>Maximum budget</w:t>
            </w:r>
          </w:p>
        </w:tc>
      </w:tr>
      <w:tr w:rsidR="00027EF0" w:rsidRPr="00027EF0" w14:paraId="5FBAAF4C" w14:textId="77777777" w:rsidTr="004356C3">
        <w:tc>
          <w:tcPr>
            <w:tcW w:w="12950" w:type="dxa"/>
            <w:gridSpan w:val="6"/>
          </w:tcPr>
          <w:p w14:paraId="1F6AD002" w14:textId="77777777" w:rsidR="00027EF0" w:rsidRPr="00027EF0" w:rsidRDefault="00027EF0" w:rsidP="004356C3">
            <w:pPr>
              <w:jc w:val="center"/>
              <w:rPr>
                <w:sz w:val="15"/>
                <w:szCs w:val="15"/>
              </w:rPr>
            </w:pPr>
            <w:r w:rsidRPr="00027EF0">
              <w:rPr>
                <w:b/>
                <w:bCs/>
                <w:sz w:val="15"/>
                <w:szCs w:val="15"/>
              </w:rPr>
              <w:t>Maximizing Demand Coverage (O/D Trip Demand Known)</w:t>
            </w:r>
          </w:p>
        </w:tc>
      </w:tr>
      <w:tr w:rsidR="00027EF0" w:rsidRPr="00027EF0" w14:paraId="632760C2" w14:textId="77777777" w:rsidTr="004356C3">
        <w:tc>
          <w:tcPr>
            <w:tcW w:w="2249" w:type="dxa"/>
            <w:vAlign w:val="center"/>
          </w:tcPr>
          <w:p w14:paraId="17E3D6E5" w14:textId="77777777" w:rsidR="00027EF0" w:rsidRPr="00027EF0" w:rsidRDefault="00027EF0" w:rsidP="004356C3">
            <w:pPr>
              <w:jc w:val="center"/>
              <w:rPr>
                <w:sz w:val="15"/>
                <w:szCs w:val="15"/>
              </w:rPr>
            </w:pPr>
            <w:proofErr w:type="spellStart"/>
            <w:r w:rsidRPr="00027EF0">
              <w:rPr>
                <w:sz w:val="15"/>
                <w:szCs w:val="15"/>
              </w:rPr>
              <w:t>Frade</w:t>
            </w:r>
            <w:proofErr w:type="spellEnd"/>
            <w:r w:rsidRPr="00027EF0">
              <w:rPr>
                <w:sz w:val="15"/>
                <w:szCs w:val="15"/>
              </w:rPr>
              <w:t xml:space="preserve"> and Ribeiro (2015)</w:t>
            </w:r>
          </w:p>
        </w:tc>
        <w:tc>
          <w:tcPr>
            <w:tcW w:w="2139" w:type="dxa"/>
          </w:tcPr>
          <w:p w14:paraId="1AB7D254" w14:textId="77777777" w:rsidR="00027EF0" w:rsidRPr="00027EF0" w:rsidRDefault="00027EF0" w:rsidP="004356C3">
            <w:pPr>
              <w:rPr>
                <w:sz w:val="15"/>
                <w:szCs w:val="15"/>
              </w:rPr>
            </w:pPr>
            <w:r w:rsidRPr="00027EF0">
              <w:rPr>
                <w:sz w:val="15"/>
                <w:szCs w:val="15"/>
              </w:rPr>
              <w:t>Zones</w:t>
            </w:r>
          </w:p>
        </w:tc>
        <w:tc>
          <w:tcPr>
            <w:tcW w:w="2250" w:type="dxa"/>
          </w:tcPr>
          <w:p w14:paraId="190CB0C4" w14:textId="77777777" w:rsidR="00027EF0" w:rsidRPr="00027EF0" w:rsidRDefault="00027EF0" w:rsidP="004356C3">
            <w:pPr>
              <w:rPr>
                <w:sz w:val="15"/>
                <w:szCs w:val="15"/>
              </w:rPr>
            </w:pPr>
            <w:r w:rsidRPr="00027EF0">
              <w:rPr>
                <w:sz w:val="15"/>
                <w:szCs w:val="15"/>
              </w:rPr>
              <w:t>O/D demand between zones</w:t>
            </w:r>
          </w:p>
        </w:tc>
        <w:tc>
          <w:tcPr>
            <w:tcW w:w="2090" w:type="dxa"/>
          </w:tcPr>
          <w:p w14:paraId="16E61749" w14:textId="77777777" w:rsidR="00027EF0" w:rsidRPr="00027EF0" w:rsidRDefault="00027EF0" w:rsidP="004356C3">
            <w:pPr>
              <w:rPr>
                <w:sz w:val="15"/>
                <w:szCs w:val="15"/>
              </w:rPr>
            </w:pPr>
            <w:r w:rsidRPr="00027EF0">
              <w:rPr>
                <w:sz w:val="15"/>
                <w:szCs w:val="15"/>
              </w:rPr>
              <w:t>NA</w:t>
            </w:r>
          </w:p>
        </w:tc>
        <w:tc>
          <w:tcPr>
            <w:tcW w:w="2266" w:type="dxa"/>
          </w:tcPr>
          <w:p w14:paraId="14181B52" w14:textId="77777777" w:rsidR="00027EF0" w:rsidRPr="00027EF0" w:rsidRDefault="00027EF0" w:rsidP="004356C3">
            <w:pPr>
              <w:rPr>
                <w:sz w:val="15"/>
                <w:szCs w:val="15"/>
              </w:rPr>
            </w:pPr>
            <w:r w:rsidRPr="00027EF0">
              <w:rPr>
                <w:sz w:val="15"/>
                <w:szCs w:val="15"/>
              </w:rPr>
              <w:t>Maximize coverage of trips demanded</w:t>
            </w:r>
          </w:p>
        </w:tc>
        <w:tc>
          <w:tcPr>
            <w:tcW w:w="1956" w:type="dxa"/>
          </w:tcPr>
          <w:p w14:paraId="7BDCDD6C" w14:textId="77777777" w:rsidR="00027EF0" w:rsidRPr="00027EF0" w:rsidRDefault="00027EF0" w:rsidP="004356C3">
            <w:pPr>
              <w:rPr>
                <w:sz w:val="15"/>
                <w:szCs w:val="15"/>
              </w:rPr>
            </w:pPr>
            <w:r w:rsidRPr="00027EF0">
              <w:rPr>
                <w:sz w:val="15"/>
                <w:szCs w:val="15"/>
              </w:rPr>
              <w:t>Maximum budget, revenue &gt;= operating costs</w:t>
            </w:r>
          </w:p>
        </w:tc>
      </w:tr>
      <w:tr w:rsidR="00027EF0" w:rsidRPr="00027EF0" w14:paraId="563AEDA1" w14:textId="77777777" w:rsidTr="004356C3">
        <w:tc>
          <w:tcPr>
            <w:tcW w:w="2249" w:type="dxa"/>
            <w:vAlign w:val="center"/>
          </w:tcPr>
          <w:p w14:paraId="78B7DB4C" w14:textId="77777777" w:rsidR="00027EF0" w:rsidRPr="00027EF0" w:rsidRDefault="00027EF0" w:rsidP="004356C3">
            <w:pPr>
              <w:jc w:val="center"/>
              <w:rPr>
                <w:sz w:val="15"/>
                <w:szCs w:val="15"/>
              </w:rPr>
            </w:pPr>
            <w:r w:rsidRPr="00027EF0">
              <w:rPr>
                <w:sz w:val="15"/>
                <w:szCs w:val="15"/>
              </w:rPr>
              <w:t>Garcia-</w:t>
            </w:r>
            <w:proofErr w:type="spellStart"/>
            <w:r w:rsidRPr="00027EF0">
              <w:rPr>
                <w:sz w:val="15"/>
                <w:szCs w:val="15"/>
              </w:rPr>
              <w:t>Palomares</w:t>
            </w:r>
            <w:proofErr w:type="spellEnd"/>
            <w:r w:rsidRPr="00027EF0">
              <w:rPr>
                <w:sz w:val="15"/>
                <w:szCs w:val="15"/>
              </w:rPr>
              <w:t xml:space="preserve"> et al (2012)</w:t>
            </w:r>
          </w:p>
        </w:tc>
        <w:tc>
          <w:tcPr>
            <w:tcW w:w="2139" w:type="dxa"/>
          </w:tcPr>
          <w:p w14:paraId="4064F73C" w14:textId="77777777" w:rsidR="00027EF0" w:rsidRPr="00027EF0" w:rsidRDefault="00027EF0" w:rsidP="004356C3">
            <w:pPr>
              <w:rPr>
                <w:sz w:val="15"/>
                <w:szCs w:val="15"/>
              </w:rPr>
            </w:pPr>
            <w:r w:rsidRPr="00027EF0">
              <w:rPr>
                <w:sz w:val="15"/>
                <w:szCs w:val="15"/>
              </w:rPr>
              <w:t>Existing train stations, candidate locations within zones</w:t>
            </w:r>
          </w:p>
        </w:tc>
        <w:tc>
          <w:tcPr>
            <w:tcW w:w="2250" w:type="dxa"/>
          </w:tcPr>
          <w:p w14:paraId="7C6D7FC0" w14:textId="77777777" w:rsidR="00027EF0" w:rsidRPr="00027EF0" w:rsidRDefault="00027EF0" w:rsidP="004356C3">
            <w:pPr>
              <w:rPr>
                <w:sz w:val="15"/>
                <w:szCs w:val="15"/>
              </w:rPr>
            </w:pPr>
            <w:r w:rsidRPr="00027EF0">
              <w:rPr>
                <w:sz w:val="15"/>
                <w:szCs w:val="15"/>
              </w:rPr>
              <w:t>O/D demand between zones, scaled to building level with population/job data</w:t>
            </w:r>
          </w:p>
        </w:tc>
        <w:tc>
          <w:tcPr>
            <w:tcW w:w="2090" w:type="dxa"/>
          </w:tcPr>
          <w:p w14:paraId="0FCAE97B" w14:textId="77777777" w:rsidR="00027EF0" w:rsidRPr="00027EF0" w:rsidRDefault="00027EF0" w:rsidP="004356C3">
            <w:pPr>
              <w:rPr>
                <w:sz w:val="15"/>
                <w:szCs w:val="15"/>
              </w:rPr>
            </w:pPr>
            <w:r w:rsidRPr="00027EF0">
              <w:rPr>
                <w:sz w:val="15"/>
                <w:szCs w:val="15"/>
              </w:rPr>
              <w:t>NA</w:t>
            </w:r>
          </w:p>
        </w:tc>
        <w:tc>
          <w:tcPr>
            <w:tcW w:w="2266" w:type="dxa"/>
          </w:tcPr>
          <w:p w14:paraId="766BC98E" w14:textId="77777777" w:rsidR="00027EF0" w:rsidRPr="00027EF0" w:rsidRDefault="00027EF0" w:rsidP="004356C3">
            <w:pPr>
              <w:rPr>
                <w:sz w:val="15"/>
                <w:szCs w:val="15"/>
              </w:rPr>
            </w:pPr>
            <w:r w:rsidRPr="00027EF0">
              <w:rPr>
                <w:sz w:val="15"/>
                <w:szCs w:val="15"/>
              </w:rPr>
              <w:t xml:space="preserve">Minimize impedance between </w:t>
            </w:r>
            <w:proofErr w:type="gramStart"/>
            <w:r w:rsidRPr="00027EF0">
              <w:rPr>
                <w:sz w:val="15"/>
                <w:szCs w:val="15"/>
              </w:rPr>
              <w:t>stations</w:t>
            </w:r>
            <w:proofErr w:type="gramEnd"/>
          </w:p>
          <w:p w14:paraId="20203D6E" w14:textId="77777777" w:rsidR="00027EF0" w:rsidRPr="00027EF0" w:rsidRDefault="00027EF0" w:rsidP="004356C3">
            <w:pPr>
              <w:rPr>
                <w:sz w:val="15"/>
                <w:szCs w:val="15"/>
              </w:rPr>
            </w:pPr>
            <w:r w:rsidRPr="00027EF0">
              <w:rPr>
                <w:sz w:val="15"/>
                <w:szCs w:val="15"/>
              </w:rPr>
              <w:t>Maximize demand coverage</w:t>
            </w:r>
          </w:p>
        </w:tc>
        <w:tc>
          <w:tcPr>
            <w:tcW w:w="1956" w:type="dxa"/>
          </w:tcPr>
          <w:p w14:paraId="0FE16DB8" w14:textId="77777777" w:rsidR="00027EF0" w:rsidRPr="00027EF0" w:rsidRDefault="00027EF0" w:rsidP="004356C3">
            <w:pPr>
              <w:rPr>
                <w:sz w:val="15"/>
                <w:szCs w:val="15"/>
              </w:rPr>
            </w:pPr>
            <w:r w:rsidRPr="00027EF0">
              <w:rPr>
                <w:sz w:val="15"/>
                <w:szCs w:val="15"/>
              </w:rPr>
              <w:t>Maximum # stations (multiple considered)</w:t>
            </w:r>
          </w:p>
        </w:tc>
      </w:tr>
      <w:tr w:rsidR="00027EF0" w:rsidRPr="00027EF0" w14:paraId="257881D5" w14:textId="77777777" w:rsidTr="004356C3">
        <w:tc>
          <w:tcPr>
            <w:tcW w:w="2249" w:type="dxa"/>
            <w:vAlign w:val="center"/>
          </w:tcPr>
          <w:p w14:paraId="2DBB25C3" w14:textId="77777777" w:rsidR="00027EF0" w:rsidRPr="00027EF0" w:rsidRDefault="00027EF0" w:rsidP="004356C3">
            <w:pPr>
              <w:jc w:val="center"/>
              <w:rPr>
                <w:sz w:val="15"/>
                <w:szCs w:val="15"/>
              </w:rPr>
            </w:pPr>
            <w:proofErr w:type="spellStart"/>
            <w:r w:rsidRPr="00027EF0">
              <w:rPr>
                <w:sz w:val="15"/>
                <w:szCs w:val="15"/>
              </w:rPr>
              <w:t>Caggiani</w:t>
            </w:r>
            <w:proofErr w:type="spellEnd"/>
            <w:r w:rsidRPr="00027EF0">
              <w:rPr>
                <w:sz w:val="15"/>
                <w:szCs w:val="15"/>
              </w:rPr>
              <w:t xml:space="preserve"> et al (2020)</w:t>
            </w:r>
          </w:p>
        </w:tc>
        <w:tc>
          <w:tcPr>
            <w:tcW w:w="2139" w:type="dxa"/>
          </w:tcPr>
          <w:p w14:paraId="7FA46F5F" w14:textId="77777777" w:rsidR="00027EF0" w:rsidRPr="00027EF0" w:rsidRDefault="00027EF0" w:rsidP="004356C3">
            <w:pPr>
              <w:rPr>
                <w:sz w:val="15"/>
                <w:szCs w:val="15"/>
              </w:rPr>
            </w:pPr>
            <w:r w:rsidRPr="00027EF0">
              <w:rPr>
                <w:sz w:val="15"/>
                <w:szCs w:val="15"/>
              </w:rPr>
              <w:t>Zones, candidate locations within zones</w:t>
            </w:r>
          </w:p>
        </w:tc>
        <w:tc>
          <w:tcPr>
            <w:tcW w:w="2250" w:type="dxa"/>
          </w:tcPr>
          <w:p w14:paraId="62517EEE" w14:textId="77777777" w:rsidR="00027EF0" w:rsidRPr="00027EF0" w:rsidRDefault="00027EF0" w:rsidP="004356C3">
            <w:pPr>
              <w:rPr>
                <w:sz w:val="15"/>
                <w:szCs w:val="15"/>
              </w:rPr>
            </w:pPr>
            <w:r w:rsidRPr="00027EF0">
              <w:rPr>
                <w:sz w:val="15"/>
                <w:szCs w:val="15"/>
              </w:rPr>
              <w:t>O/D demand between zones</w:t>
            </w:r>
          </w:p>
        </w:tc>
        <w:tc>
          <w:tcPr>
            <w:tcW w:w="2090" w:type="dxa"/>
          </w:tcPr>
          <w:p w14:paraId="6B7F4E32" w14:textId="77777777" w:rsidR="00027EF0" w:rsidRPr="00027EF0" w:rsidRDefault="00027EF0" w:rsidP="004356C3">
            <w:pPr>
              <w:rPr>
                <w:sz w:val="15"/>
                <w:szCs w:val="15"/>
              </w:rPr>
            </w:pPr>
            <w:r w:rsidRPr="00027EF0">
              <w:rPr>
                <w:sz w:val="15"/>
                <w:szCs w:val="15"/>
              </w:rPr>
              <w:t>NA</w:t>
            </w:r>
          </w:p>
        </w:tc>
        <w:tc>
          <w:tcPr>
            <w:tcW w:w="2266" w:type="dxa"/>
          </w:tcPr>
          <w:p w14:paraId="0DE7B6EC" w14:textId="77777777" w:rsidR="00027EF0" w:rsidRPr="00027EF0" w:rsidRDefault="00027EF0" w:rsidP="004356C3">
            <w:pPr>
              <w:rPr>
                <w:sz w:val="15"/>
                <w:szCs w:val="15"/>
              </w:rPr>
            </w:pPr>
            <w:r w:rsidRPr="00027EF0">
              <w:rPr>
                <w:sz w:val="15"/>
                <w:szCs w:val="15"/>
              </w:rPr>
              <w:t>Minimize inequalities in bicycle-public transport mobility among population groups</w:t>
            </w:r>
          </w:p>
        </w:tc>
        <w:tc>
          <w:tcPr>
            <w:tcW w:w="1956" w:type="dxa"/>
          </w:tcPr>
          <w:p w14:paraId="0D613ECC" w14:textId="77777777" w:rsidR="00027EF0" w:rsidRPr="00027EF0" w:rsidRDefault="00027EF0" w:rsidP="004356C3">
            <w:pPr>
              <w:rPr>
                <w:sz w:val="15"/>
                <w:szCs w:val="15"/>
              </w:rPr>
            </w:pPr>
            <w:r w:rsidRPr="00027EF0">
              <w:rPr>
                <w:sz w:val="15"/>
                <w:szCs w:val="15"/>
              </w:rPr>
              <w:t xml:space="preserve">Minimum average accessibility </w:t>
            </w:r>
          </w:p>
          <w:p w14:paraId="66B2E163" w14:textId="77777777" w:rsidR="00027EF0" w:rsidRPr="00027EF0" w:rsidRDefault="00027EF0" w:rsidP="004356C3">
            <w:pPr>
              <w:rPr>
                <w:sz w:val="15"/>
                <w:szCs w:val="15"/>
              </w:rPr>
            </w:pPr>
            <w:r w:rsidRPr="00027EF0">
              <w:rPr>
                <w:sz w:val="15"/>
                <w:szCs w:val="15"/>
              </w:rPr>
              <w:t>Minimum total coverage</w:t>
            </w:r>
          </w:p>
          <w:p w14:paraId="777D8587" w14:textId="77777777" w:rsidR="00027EF0" w:rsidRPr="00027EF0" w:rsidRDefault="00027EF0" w:rsidP="004356C3">
            <w:pPr>
              <w:rPr>
                <w:sz w:val="15"/>
                <w:szCs w:val="15"/>
              </w:rPr>
            </w:pPr>
            <w:r w:rsidRPr="00027EF0">
              <w:rPr>
                <w:sz w:val="15"/>
                <w:szCs w:val="15"/>
              </w:rPr>
              <w:t>Maximum budget</w:t>
            </w:r>
          </w:p>
        </w:tc>
      </w:tr>
      <w:tr w:rsidR="00027EF0" w:rsidRPr="00027EF0" w14:paraId="7CDED85D" w14:textId="77777777" w:rsidTr="004356C3">
        <w:tc>
          <w:tcPr>
            <w:tcW w:w="2249" w:type="dxa"/>
            <w:vAlign w:val="center"/>
          </w:tcPr>
          <w:p w14:paraId="1B19908A" w14:textId="77777777" w:rsidR="00027EF0" w:rsidRPr="00027EF0" w:rsidRDefault="00027EF0" w:rsidP="004356C3">
            <w:pPr>
              <w:jc w:val="center"/>
              <w:rPr>
                <w:sz w:val="15"/>
                <w:szCs w:val="15"/>
              </w:rPr>
            </w:pPr>
            <w:proofErr w:type="spellStart"/>
            <w:r w:rsidRPr="00027EF0">
              <w:rPr>
                <w:sz w:val="15"/>
                <w:szCs w:val="15"/>
              </w:rPr>
              <w:t>Celebi</w:t>
            </w:r>
            <w:proofErr w:type="spellEnd"/>
            <w:r w:rsidRPr="00027EF0">
              <w:rPr>
                <w:sz w:val="15"/>
                <w:szCs w:val="15"/>
              </w:rPr>
              <w:t xml:space="preserve"> et al (2018)</w:t>
            </w:r>
          </w:p>
        </w:tc>
        <w:tc>
          <w:tcPr>
            <w:tcW w:w="2139" w:type="dxa"/>
          </w:tcPr>
          <w:p w14:paraId="3ECAAE89" w14:textId="77777777" w:rsidR="00027EF0" w:rsidRPr="00027EF0" w:rsidRDefault="00027EF0" w:rsidP="004356C3">
            <w:pPr>
              <w:rPr>
                <w:sz w:val="15"/>
                <w:szCs w:val="15"/>
              </w:rPr>
            </w:pPr>
            <w:r w:rsidRPr="00027EF0">
              <w:rPr>
                <w:sz w:val="15"/>
                <w:szCs w:val="15"/>
              </w:rPr>
              <w:t>Candidate stations</w:t>
            </w:r>
          </w:p>
        </w:tc>
        <w:tc>
          <w:tcPr>
            <w:tcW w:w="2250" w:type="dxa"/>
          </w:tcPr>
          <w:p w14:paraId="0096A4A6" w14:textId="77777777" w:rsidR="00027EF0" w:rsidRPr="00027EF0" w:rsidRDefault="00027EF0" w:rsidP="004356C3">
            <w:pPr>
              <w:rPr>
                <w:sz w:val="15"/>
                <w:szCs w:val="15"/>
              </w:rPr>
            </w:pPr>
            <w:r w:rsidRPr="00027EF0">
              <w:rPr>
                <w:sz w:val="15"/>
                <w:szCs w:val="15"/>
              </w:rPr>
              <w:t>O/D demand between stations from direct survey about demand points</w:t>
            </w:r>
          </w:p>
        </w:tc>
        <w:tc>
          <w:tcPr>
            <w:tcW w:w="2090" w:type="dxa"/>
          </w:tcPr>
          <w:p w14:paraId="2E3736D8" w14:textId="77777777" w:rsidR="00027EF0" w:rsidRPr="00027EF0" w:rsidRDefault="00027EF0" w:rsidP="004356C3">
            <w:pPr>
              <w:rPr>
                <w:sz w:val="15"/>
                <w:szCs w:val="15"/>
              </w:rPr>
            </w:pPr>
            <w:r w:rsidRPr="00027EF0">
              <w:rPr>
                <w:sz w:val="15"/>
                <w:szCs w:val="15"/>
              </w:rPr>
              <w:t>NA</w:t>
            </w:r>
          </w:p>
        </w:tc>
        <w:tc>
          <w:tcPr>
            <w:tcW w:w="2266" w:type="dxa"/>
          </w:tcPr>
          <w:p w14:paraId="173FBB56" w14:textId="77777777" w:rsidR="00027EF0" w:rsidRPr="00027EF0" w:rsidRDefault="00027EF0" w:rsidP="004356C3">
            <w:pPr>
              <w:rPr>
                <w:sz w:val="15"/>
                <w:szCs w:val="15"/>
              </w:rPr>
            </w:pPr>
            <w:r w:rsidRPr="00027EF0">
              <w:rPr>
                <w:sz w:val="15"/>
                <w:szCs w:val="15"/>
              </w:rPr>
              <w:t>Minimize total unsatisfied demand</w:t>
            </w:r>
          </w:p>
        </w:tc>
        <w:tc>
          <w:tcPr>
            <w:tcW w:w="1956" w:type="dxa"/>
          </w:tcPr>
          <w:p w14:paraId="0302A06F" w14:textId="77777777" w:rsidR="00027EF0" w:rsidRPr="00027EF0" w:rsidRDefault="00027EF0" w:rsidP="004356C3">
            <w:pPr>
              <w:rPr>
                <w:sz w:val="15"/>
                <w:szCs w:val="15"/>
              </w:rPr>
            </w:pPr>
            <w:r w:rsidRPr="00027EF0">
              <w:rPr>
                <w:sz w:val="15"/>
                <w:szCs w:val="15"/>
              </w:rPr>
              <w:t>Maximum # stations</w:t>
            </w:r>
          </w:p>
          <w:p w14:paraId="16D1776A" w14:textId="77777777" w:rsidR="00027EF0" w:rsidRPr="00027EF0" w:rsidRDefault="00027EF0" w:rsidP="004356C3">
            <w:pPr>
              <w:rPr>
                <w:sz w:val="15"/>
                <w:szCs w:val="15"/>
              </w:rPr>
            </w:pPr>
            <w:r w:rsidRPr="00027EF0">
              <w:rPr>
                <w:sz w:val="15"/>
                <w:szCs w:val="15"/>
              </w:rPr>
              <w:t>Maximum # bicycles</w:t>
            </w:r>
          </w:p>
        </w:tc>
      </w:tr>
      <w:tr w:rsidR="00027EF0" w:rsidRPr="00027EF0" w14:paraId="2A9EE54D" w14:textId="77777777" w:rsidTr="004356C3">
        <w:tc>
          <w:tcPr>
            <w:tcW w:w="12950" w:type="dxa"/>
            <w:gridSpan w:val="6"/>
          </w:tcPr>
          <w:p w14:paraId="0C1F5F7D" w14:textId="77777777" w:rsidR="00027EF0" w:rsidRPr="00027EF0" w:rsidRDefault="00027EF0" w:rsidP="004356C3">
            <w:pPr>
              <w:jc w:val="center"/>
              <w:rPr>
                <w:sz w:val="15"/>
                <w:szCs w:val="15"/>
              </w:rPr>
            </w:pPr>
            <w:r w:rsidRPr="00027EF0">
              <w:rPr>
                <w:b/>
                <w:bCs/>
                <w:sz w:val="15"/>
                <w:szCs w:val="15"/>
              </w:rPr>
              <w:t>Maximizing Demand Coverage (O/D Trip Demand Modeled/Approximated from Demand Indicators)</w:t>
            </w:r>
          </w:p>
        </w:tc>
      </w:tr>
      <w:tr w:rsidR="00027EF0" w:rsidRPr="00027EF0" w14:paraId="6FDB56AF" w14:textId="77777777" w:rsidTr="004356C3">
        <w:tc>
          <w:tcPr>
            <w:tcW w:w="2249" w:type="dxa"/>
            <w:vAlign w:val="center"/>
          </w:tcPr>
          <w:p w14:paraId="2CCF78DD" w14:textId="77777777" w:rsidR="00027EF0" w:rsidRPr="00027EF0" w:rsidRDefault="00027EF0" w:rsidP="004356C3">
            <w:pPr>
              <w:jc w:val="center"/>
              <w:rPr>
                <w:sz w:val="15"/>
                <w:szCs w:val="15"/>
              </w:rPr>
            </w:pPr>
            <w:r w:rsidRPr="00027EF0">
              <w:rPr>
                <w:sz w:val="15"/>
                <w:szCs w:val="15"/>
              </w:rPr>
              <w:t>Mix et al (2022)</w:t>
            </w:r>
          </w:p>
        </w:tc>
        <w:tc>
          <w:tcPr>
            <w:tcW w:w="2139" w:type="dxa"/>
          </w:tcPr>
          <w:p w14:paraId="2E5C9179" w14:textId="77777777" w:rsidR="00027EF0" w:rsidRPr="00027EF0" w:rsidRDefault="00027EF0" w:rsidP="004356C3">
            <w:pPr>
              <w:rPr>
                <w:sz w:val="15"/>
                <w:szCs w:val="15"/>
              </w:rPr>
            </w:pPr>
            <w:r w:rsidRPr="00027EF0">
              <w:rPr>
                <w:sz w:val="15"/>
                <w:szCs w:val="15"/>
              </w:rPr>
              <w:t>Equilateral triangle zones with station at center</w:t>
            </w:r>
          </w:p>
        </w:tc>
        <w:tc>
          <w:tcPr>
            <w:tcW w:w="2250" w:type="dxa"/>
          </w:tcPr>
          <w:p w14:paraId="3045AAF8" w14:textId="77777777" w:rsidR="00027EF0" w:rsidRPr="00027EF0" w:rsidRDefault="00027EF0" w:rsidP="004356C3">
            <w:pPr>
              <w:rPr>
                <w:sz w:val="15"/>
                <w:szCs w:val="15"/>
              </w:rPr>
            </w:pPr>
            <w:r w:rsidRPr="00027EF0">
              <w:rPr>
                <w:sz w:val="15"/>
                <w:szCs w:val="15"/>
              </w:rPr>
              <w:t>O/D demand from existing system data modeled with demand indicators (Regression)</w:t>
            </w:r>
          </w:p>
        </w:tc>
        <w:tc>
          <w:tcPr>
            <w:tcW w:w="2090" w:type="dxa"/>
          </w:tcPr>
          <w:p w14:paraId="7BBCC807" w14:textId="77777777" w:rsidR="00027EF0" w:rsidRPr="00027EF0" w:rsidRDefault="00027EF0" w:rsidP="004356C3">
            <w:pPr>
              <w:rPr>
                <w:sz w:val="15"/>
                <w:szCs w:val="15"/>
              </w:rPr>
            </w:pPr>
            <w:r w:rsidRPr="00027EF0">
              <w:rPr>
                <w:sz w:val="15"/>
                <w:szCs w:val="15"/>
              </w:rPr>
              <w:t>NA</w:t>
            </w:r>
          </w:p>
        </w:tc>
        <w:tc>
          <w:tcPr>
            <w:tcW w:w="2266" w:type="dxa"/>
          </w:tcPr>
          <w:p w14:paraId="1452AFE1" w14:textId="77777777" w:rsidR="00027EF0" w:rsidRPr="00027EF0" w:rsidRDefault="00027EF0" w:rsidP="004356C3">
            <w:pPr>
              <w:rPr>
                <w:sz w:val="15"/>
                <w:szCs w:val="15"/>
              </w:rPr>
            </w:pPr>
            <w:r w:rsidRPr="00027EF0">
              <w:rPr>
                <w:sz w:val="15"/>
                <w:szCs w:val="15"/>
              </w:rPr>
              <w:t>Maximize generated trips for local generation, accessibility-based generation</w:t>
            </w:r>
          </w:p>
        </w:tc>
        <w:tc>
          <w:tcPr>
            <w:tcW w:w="1956" w:type="dxa"/>
          </w:tcPr>
          <w:p w14:paraId="4331FD9D" w14:textId="77777777" w:rsidR="00027EF0" w:rsidRPr="00027EF0" w:rsidRDefault="00027EF0" w:rsidP="004356C3">
            <w:pPr>
              <w:rPr>
                <w:sz w:val="15"/>
                <w:szCs w:val="15"/>
              </w:rPr>
            </w:pPr>
            <w:r w:rsidRPr="00027EF0">
              <w:rPr>
                <w:sz w:val="15"/>
                <w:szCs w:val="15"/>
              </w:rPr>
              <w:t>Maximum # stations (multiple considered)</w:t>
            </w:r>
          </w:p>
        </w:tc>
      </w:tr>
      <w:tr w:rsidR="00027EF0" w:rsidRPr="00027EF0" w14:paraId="609D89D3" w14:textId="77777777" w:rsidTr="004356C3">
        <w:tc>
          <w:tcPr>
            <w:tcW w:w="2249" w:type="dxa"/>
            <w:vAlign w:val="center"/>
          </w:tcPr>
          <w:p w14:paraId="4C9971EF" w14:textId="77777777" w:rsidR="00027EF0" w:rsidRPr="00027EF0" w:rsidRDefault="00027EF0" w:rsidP="004356C3">
            <w:pPr>
              <w:jc w:val="center"/>
              <w:rPr>
                <w:sz w:val="15"/>
                <w:szCs w:val="15"/>
              </w:rPr>
            </w:pPr>
            <w:r w:rsidRPr="00027EF0">
              <w:rPr>
                <w:sz w:val="15"/>
                <w:szCs w:val="15"/>
              </w:rPr>
              <w:t>Liu et al (2015)</w:t>
            </w:r>
          </w:p>
        </w:tc>
        <w:tc>
          <w:tcPr>
            <w:tcW w:w="2139" w:type="dxa"/>
          </w:tcPr>
          <w:p w14:paraId="35B4A921" w14:textId="77777777" w:rsidR="00027EF0" w:rsidRPr="00027EF0" w:rsidRDefault="00027EF0" w:rsidP="004356C3">
            <w:pPr>
              <w:rPr>
                <w:sz w:val="15"/>
                <w:szCs w:val="15"/>
              </w:rPr>
            </w:pPr>
            <w:r w:rsidRPr="00027EF0">
              <w:rPr>
                <w:sz w:val="15"/>
                <w:szCs w:val="15"/>
              </w:rPr>
              <w:t>Voronoi Regions with stations at center</w:t>
            </w:r>
          </w:p>
        </w:tc>
        <w:tc>
          <w:tcPr>
            <w:tcW w:w="2250" w:type="dxa"/>
          </w:tcPr>
          <w:p w14:paraId="6EC91F84" w14:textId="77777777" w:rsidR="00027EF0" w:rsidRPr="00027EF0" w:rsidRDefault="00027EF0" w:rsidP="004356C3">
            <w:pPr>
              <w:rPr>
                <w:sz w:val="15"/>
                <w:szCs w:val="15"/>
              </w:rPr>
            </w:pPr>
            <w:r w:rsidRPr="00027EF0">
              <w:rPr>
                <w:sz w:val="15"/>
                <w:szCs w:val="15"/>
              </w:rPr>
              <w:t>O/D demand from existing system data modeled with demand indicators (Neural Network)</w:t>
            </w:r>
          </w:p>
        </w:tc>
        <w:tc>
          <w:tcPr>
            <w:tcW w:w="2090" w:type="dxa"/>
          </w:tcPr>
          <w:p w14:paraId="34CB0490" w14:textId="77777777" w:rsidR="00027EF0" w:rsidRPr="00027EF0" w:rsidRDefault="00027EF0" w:rsidP="004356C3">
            <w:pPr>
              <w:rPr>
                <w:sz w:val="15"/>
                <w:szCs w:val="15"/>
              </w:rPr>
            </w:pPr>
            <w:r w:rsidRPr="00027EF0">
              <w:rPr>
                <w:sz w:val="15"/>
                <w:szCs w:val="15"/>
              </w:rPr>
              <w:t>NA</w:t>
            </w:r>
          </w:p>
        </w:tc>
        <w:tc>
          <w:tcPr>
            <w:tcW w:w="2266" w:type="dxa"/>
          </w:tcPr>
          <w:p w14:paraId="6B7ADAA8" w14:textId="77777777" w:rsidR="00027EF0" w:rsidRPr="00027EF0" w:rsidRDefault="00027EF0" w:rsidP="004356C3">
            <w:pPr>
              <w:rPr>
                <w:sz w:val="15"/>
                <w:szCs w:val="15"/>
              </w:rPr>
            </w:pPr>
            <w:r w:rsidRPr="00027EF0">
              <w:rPr>
                <w:sz w:val="15"/>
                <w:szCs w:val="15"/>
              </w:rPr>
              <w:t>Maximize demand from chosen stations while minimizing unbalanced stations</w:t>
            </w:r>
          </w:p>
        </w:tc>
        <w:tc>
          <w:tcPr>
            <w:tcW w:w="1956" w:type="dxa"/>
          </w:tcPr>
          <w:p w14:paraId="632350C5" w14:textId="77777777" w:rsidR="00027EF0" w:rsidRPr="00027EF0" w:rsidRDefault="00027EF0" w:rsidP="004356C3">
            <w:pPr>
              <w:rPr>
                <w:sz w:val="15"/>
                <w:szCs w:val="15"/>
              </w:rPr>
            </w:pPr>
            <w:r w:rsidRPr="00027EF0">
              <w:rPr>
                <w:sz w:val="15"/>
                <w:szCs w:val="15"/>
              </w:rPr>
              <w:t>Maximum # stations</w:t>
            </w:r>
          </w:p>
          <w:p w14:paraId="5CDE8B94" w14:textId="77777777" w:rsidR="00027EF0" w:rsidRPr="00027EF0" w:rsidRDefault="00027EF0" w:rsidP="004356C3">
            <w:pPr>
              <w:rPr>
                <w:sz w:val="15"/>
                <w:szCs w:val="15"/>
              </w:rPr>
            </w:pPr>
            <w:r w:rsidRPr="00027EF0">
              <w:rPr>
                <w:sz w:val="15"/>
                <w:szCs w:val="15"/>
              </w:rPr>
              <w:t>Minimum distance apart</w:t>
            </w:r>
          </w:p>
        </w:tc>
      </w:tr>
      <w:tr w:rsidR="00027EF0" w:rsidRPr="00027EF0" w14:paraId="5F761B99" w14:textId="77777777" w:rsidTr="004356C3">
        <w:tc>
          <w:tcPr>
            <w:tcW w:w="2249" w:type="dxa"/>
            <w:vAlign w:val="center"/>
          </w:tcPr>
          <w:p w14:paraId="16BD546C" w14:textId="77777777" w:rsidR="00027EF0" w:rsidRPr="00027EF0" w:rsidRDefault="00027EF0" w:rsidP="004356C3">
            <w:pPr>
              <w:jc w:val="center"/>
              <w:rPr>
                <w:sz w:val="15"/>
                <w:szCs w:val="15"/>
              </w:rPr>
            </w:pPr>
            <w:r w:rsidRPr="00027EF0">
              <w:rPr>
                <w:sz w:val="15"/>
                <w:szCs w:val="15"/>
              </w:rPr>
              <w:t>Qian et al (2022)</w:t>
            </w:r>
          </w:p>
        </w:tc>
        <w:tc>
          <w:tcPr>
            <w:tcW w:w="2139" w:type="dxa"/>
          </w:tcPr>
          <w:p w14:paraId="785C74DE" w14:textId="77777777" w:rsidR="00027EF0" w:rsidRPr="00027EF0" w:rsidRDefault="00027EF0" w:rsidP="004356C3">
            <w:pPr>
              <w:rPr>
                <w:sz w:val="15"/>
                <w:szCs w:val="15"/>
              </w:rPr>
            </w:pPr>
            <w:r w:rsidRPr="00027EF0">
              <w:rPr>
                <w:sz w:val="15"/>
                <w:szCs w:val="15"/>
              </w:rPr>
              <w:t>Candidate locations (randomly selected from set of intersections)</w:t>
            </w:r>
          </w:p>
        </w:tc>
        <w:tc>
          <w:tcPr>
            <w:tcW w:w="2250" w:type="dxa"/>
          </w:tcPr>
          <w:p w14:paraId="0DFC6D5A" w14:textId="77777777" w:rsidR="00027EF0" w:rsidRPr="00027EF0" w:rsidRDefault="00027EF0" w:rsidP="004356C3">
            <w:pPr>
              <w:rPr>
                <w:sz w:val="15"/>
                <w:szCs w:val="15"/>
              </w:rPr>
            </w:pPr>
            <w:r w:rsidRPr="00027EF0">
              <w:rPr>
                <w:sz w:val="15"/>
                <w:szCs w:val="15"/>
              </w:rPr>
              <w:t>Trip demand generated from previous research on demand indicators</w:t>
            </w:r>
          </w:p>
        </w:tc>
        <w:tc>
          <w:tcPr>
            <w:tcW w:w="2090" w:type="dxa"/>
          </w:tcPr>
          <w:p w14:paraId="27FBBD2F" w14:textId="77777777" w:rsidR="00027EF0" w:rsidRPr="00027EF0" w:rsidRDefault="00027EF0" w:rsidP="004356C3">
            <w:pPr>
              <w:rPr>
                <w:sz w:val="15"/>
                <w:szCs w:val="15"/>
              </w:rPr>
            </w:pPr>
            <w:r w:rsidRPr="00027EF0">
              <w:rPr>
                <w:sz w:val="15"/>
                <w:szCs w:val="15"/>
              </w:rPr>
              <w:t>NA</w:t>
            </w:r>
          </w:p>
        </w:tc>
        <w:tc>
          <w:tcPr>
            <w:tcW w:w="2266" w:type="dxa"/>
          </w:tcPr>
          <w:p w14:paraId="7F958358" w14:textId="77777777" w:rsidR="00027EF0" w:rsidRPr="00027EF0" w:rsidRDefault="00027EF0" w:rsidP="004356C3">
            <w:pPr>
              <w:rPr>
                <w:sz w:val="15"/>
                <w:szCs w:val="15"/>
              </w:rPr>
            </w:pPr>
            <w:r w:rsidRPr="00027EF0">
              <w:rPr>
                <w:sz w:val="15"/>
                <w:szCs w:val="15"/>
              </w:rPr>
              <w:t xml:space="preserve">Maximize </w:t>
            </w:r>
            <w:proofErr w:type="gramStart"/>
            <w:r w:rsidRPr="00027EF0">
              <w:rPr>
                <w:sz w:val="15"/>
                <w:szCs w:val="15"/>
              </w:rPr>
              <w:t>accessibility</w:t>
            </w:r>
            <w:proofErr w:type="gramEnd"/>
          </w:p>
          <w:p w14:paraId="25DCCDEB" w14:textId="77777777" w:rsidR="00027EF0" w:rsidRPr="00027EF0" w:rsidRDefault="00027EF0" w:rsidP="004356C3">
            <w:pPr>
              <w:rPr>
                <w:sz w:val="15"/>
                <w:szCs w:val="15"/>
              </w:rPr>
            </w:pPr>
            <w:r w:rsidRPr="00027EF0">
              <w:rPr>
                <w:sz w:val="15"/>
                <w:szCs w:val="15"/>
              </w:rPr>
              <w:t xml:space="preserve">Maximize </w:t>
            </w:r>
            <w:proofErr w:type="gramStart"/>
            <w:r w:rsidRPr="00027EF0">
              <w:rPr>
                <w:sz w:val="15"/>
                <w:szCs w:val="15"/>
              </w:rPr>
              <w:t>revenue</w:t>
            </w:r>
            <w:proofErr w:type="gramEnd"/>
          </w:p>
          <w:p w14:paraId="22D46918" w14:textId="77777777" w:rsidR="00027EF0" w:rsidRPr="00027EF0" w:rsidRDefault="00027EF0" w:rsidP="004356C3">
            <w:pPr>
              <w:rPr>
                <w:sz w:val="15"/>
                <w:szCs w:val="15"/>
              </w:rPr>
            </w:pPr>
            <w:r w:rsidRPr="00027EF0">
              <w:rPr>
                <w:sz w:val="15"/>
                <w:szCs w:val="15"/>
              </w:rPr>
              <w:t>Pareto frontier comparison</w:t>
            </w:r>
          </w:p>
        </w:tc>
        <w:tc>
          <w:tcPr>
            <w:tcW w:w="1956" w:type="dxa"/>
          </w:tcPr>
          <w:p w14:paraId="49D08473" w14:textId="77777777" w:rsidR="00027EF0" w:rsidRPr="00027EF0" w:rsidRDefault="00027EF0" w:rsidP="004356C3">
            <w:pPr>
              <w:rPr>
                <w:sz w:val="15"/>
                <w:szCs w:val="15"/>
              </w:rPr>
            </w:pPr>
            <w:r w:rsidRPr="00027EF0">
              <w:rPr>
                <w:sz w:val="15"/>
                <w:szCs w:val="15"/>
              </w:rPr>
              <w:t>Maximum # stations</w:t>
            </w:r>
          </w:p>
        </w:tc>
      </w:tr>
      <w:tr w:rsidR="00027EF0" w:rsidRPr="00027EF0" w14:paraId="1748D6FD" w14:textId="77777777" w:rsidTr="004356C3">
        <w:tc>
          <w:tcPr>
            <w:tcW w:w="2249" w:type="dxa"/>
            <w:vAlign w:val="center"/>
          </w:tcPr>
          <w:p w14:paraId="510DA508" w14:textId="77777777" w:rsidR="00027EF0" w:rsidRPr="00027EF0" w:rsidRDefault="00027EF0" w:rsidP="004356C3">
            <w:pPr>
              <w:jc w:val="center"/>
              <w:rPr>
                <w:sz w:val="15"/>
                <w:szCs w:val="15"/>
              </w:rPr>
            </w:pPr>
            <w:proofErr w:type="spellStart"/>
            <w:r w:rsidRPr="00027EF0">
              <w:rPr>
                <w:sz w:val="15"/>
                <w:szCs w:val="15"/>
              </w:rPr>
              <w:t>Conrow</w:t>
            </w:r>
            <w:proofErr w:type="spellEnd"/>
            <w:r w:rsidRPr="00027EF0">
              <w:rPr>
                <w:sz w:val="15"/>
                <w:szCs w:val="15"/>
              </w:rPr>
              <w:t xml:space="preserve"> et al (2018)</w:t>
            </w:r>
          </w:p>
        </w:tc>
        <w:tc>
          <w:tcPr>
            <w:tcW w:w="2139" w:type="dxa"/>
          </w:tcPr>
          <w:p w14:paraId="138105B1" w14:textId="77777777" w:rsidR="00027EF0" w:rsidRPr="00027EF0" w:rsidRDefault="00027EF0" w:rsidP="004356C3">
            <w:pPr>
              <w:rPr>
                <w:sz w:val="15"/>
                <w:szCs w:val="15"/>
              </w:rPr>
            </w:pPr>
            <w:r w:rsidRPr="00027EF0">
              <w:rPr>
                <w:sz w:val="15"/>
                <w:szCs w:val="15"/>
              </w:rPr>
              <w:t>Continuous bike network considered</w:t>
            </w:r>
          </w:p>
        </w:tc>
        <w:tc>
          <w:tcPr>
            <w:tcW w:w="2250" w:type="dxa"/>
          </w:tcPr>
          <w:p w14:paraId="57C40C59" w14:textId="77777777" w:rsidR="00027EF0" w:rsidRPr="00027EF0" w:rsidRDefault="00027EF0" w:rsidP="004356C3">
            <w:pPr>
              <w:rPr>
                <w:sz w:val="15"/>
                <w:szCs w:val="15"/>
              </w:rPr>
            </w:pPr>
            <w:r w:rsidRPr="00027EF0">
              <w:rPr>
                <w:sz w:val="15"/>
                <w:szCs w:val="15"/>
              </w:rPr>
              <w:t>Census block population, bike network segments</w:t>
            </w:r>
          </w:p>
        </w:tc>
        <w:tc>
          <w:tcPr>
            <w:tcW w:w="2090" w:type="dxa"/>
          </w:tcPr>
          <w:p w14:paraId="171AA340" w14:textId="77777777" w:rsidR="00027EF0" w:rsidRPr="00027EF0" w:rsidRDefault="00027EF0" w:rsidP="004356C3">
            <w:pPr>
              <w:rPr>
                <w:sz w:val="15"/>
                <w:szCs w:val="15"/>
              </w:rPr>
            </w:pPr>
            <w:r w:rsidRPr="00027EF0">
              <w:rPr>
                <w:sz w:val="15"/>
                <w:szCs w:val="15"/>
              </w:rPr>
              <w:t>Importance weight for bike network coverage vs population coverage</w:t>
            </w:r>
          </w:p>
        </w:tc>
        <w:tc>
          <w:tcPr>
            <w:tcW w:w="2266" w:type="dxa"/>
          </w:tcPr>
          <w:p w14:paraId="73F59DD2" w14:textId="77777777" w:rsidR="00027EF0" w:rsidRPr="00027EF0" w:rsidRDefault="00027EF0" w:rsidP="004356C3">
            <w:pPr>
              <w:rPr>
                <w:sz w:val="15"/>
                <w:szCs w:val="15"/>
              </w:rPr>
            </w:pPr>
            <w:proofErr w:type="spellStart"/>
            <w:r w:rsidRPr="00027EF0">
              <w:rPr>
                <w:sz w:val="15"/>
                <w:szCs w:val="15"/>
              </w:rPr>
              <w:t>Biobjective</w:t>
            </w:r>
            <w:proofErr w:type="spellEnd"/>
            <w:r w:rsidRPr="00027EF0">
              <w:rPr>
                <w:sz w:val="15"/>
                <w:szCs w:val="15"/>
              </w:rPr>
              <w:t xml:space="preserve"> coverage optimization model for bike network and population</w:t>
            </w:r>
          </w:p>
        </w:tc>
        <w:tc>
          <w:tcPr>
            <w:tcW w:w="1956" w:type="dxa"/>
          </w:tcPr>
          <w:p w14:paraId="30B47DBF" w14:textId="77777777" w:rsidR="00027EF0" w:rsidRPr="00027EF0" w:rsidRDefault="00027EF0" w:rsidP="004356C3">
            <w:pPr>
              <w:rPr>
                <w:sz w:val="15"/>
                <w:szCs w:val="15"/>
              </w:rPr>
            </w:pPr>
            <w:r w:rsidRPr="00027EF0">
              <w:rPr>
                <w:sz w:val="15"/>
                <w:szCs w:val="15"/>
              </w:rPr>
              <w:t>Maximum # stations</w:t>
            </w:r>
          </w:p>
        </w:tc>
      </w:tr>
      <w:tr w:rsidR="00027EF0" w:rsidRPr="00027EF0" w14:paraId="3B16F2D0" w14:textId="77777777" w:rsidTr="004356C3">
        <w:tc>
          <w:tcPr>
            <w:tcW w:w="12950" w:type="dxa"/>
            <w:gridSpan w:val="6"/>
          </w:tcPr>
          <w:p w14:paraId="606C7024" w14:textId="77777777" w:rsidR="00027EF0" w:rsidRPr="00027EF0" w:rsidRDefault="00027EF0" w:rsidP="004356C3">
            <w:pPr>
              <w:jc w:val="center"/>
              <w:rPr>
                <w:b/>
                <w:bCs/>
                <w:sz w:val="15"/>
                <w:szCs w:val="15"/>
              </w:rPr>
            </w:pPr>
            <w:r w:rsidRPr="00027EF0">
              <w:rPr>
                <w:b/>
                <w:bCs/>
                <w:sz w:val="15"/>
                <w:szCs w:val="15"/>
              </w:rPr>
              <w:t>Minimize Cost</w:t>
            </w:r>
          </w:p>
        </w:tc>
      </w:tr>
      <w:tr w:rsidR="00027EF0" w:rsidRPr="00027EF0" w14:paraId="24DC430E" w14:textId="77777777" w:rsidTr="004356C3">
        <w:tc>
          <w:tcPr>
            <w:tcW w:w="2249" w:type="dxa"/>
            <w:vAlign w:val="center"/>
          </w:tcPr>
          <w:p w14:paraId="7A6DF851" w14:textId="77777777" w:rsidR="00027EF0" w:rsidRPr="00027EF0" w:rsidRDefault="00027EF0" w:rsidP="004356C3">
            <w:pPr>
              <w:jc w:val="center"/>
              <w:rPr>
                <w:sz w:val="15"/>
                <w:szCs w:val="15"/>
              </w:rPr>
            </w:pPr>
            <w:r w:rsidRPr="00027EF0">
              <w:rPr>
                <w:sz w:val="15"/>
                <w:szCs w:val="15"/>
              </w:rPr>
              <w:t>Garcia-Gutierrez et al (2014)</w:t>
            </w:r>
          </w:p>
        </w:tc>
        <w:tc>
          <w:tcPr>
            <w:tcW w:w="2139" w:type="dxa"/>
          </w:tcPr>
          <w:p w14:paraId="67DC24B3" w14:textId="77777777" w:rsidR="00027EF0" w:rsidRPr="00027EF0" w:rsidRDefault="00027EF0" w:rsidP="004356C3">
            <w:pPr>
              <w:rPr>
                <w:sz w:val="15"/>
                <w:szCs w:val="15"/>
              </w:rPr>
            </w:pPr>
            <w:r w:rsidRPr="00027EF0">
              <w:rPr>
                <w:sz w:val="15"/>
                <w:szCs w:val="15"/>
              </w:rPr>
              <w:t>Zones, candidate locations within zones</w:t>
            </w:r>
          </w:p>
        </w:tc>
        <w:tc>
          <w:tcPr>
            <w:tcW w:w="2250" w:type="dxa"/>
          </w:tcPr>
          <w:p w14:paraId="0378C8D0" w14:textId="77777777" w:rsidR="00027EF0" w:rsidRPr="00027EF0" w:rsidRDefault="00027EF0" w:rsidP="004356C3">
            <w:pPr>
              <w:rPr>
                <w:sz w:val="15"/>
                <w:szCs w:val="15"/>
              </w:rPr>
            </w:pPr>
            <w:r w:rsidRPr="00027EF0">
              <w:rPr>
                <w:sz w:val="15"/>
                <w:szCs w:val="15"/>
              </w:rPr>
              <w:t>Mobility survey O/D information used with utility (mode choice) model</w:t>
            </w:r>
          </w:p>
        </w:tc>
        <w:tc>
          <w:tcPr>
            <w:tcW w:w="2090" w:type="dxa"/>
          </w:tcPr>
          <w:p w14:paraId="4BBC889D" w14:textId="77777777" w:rsidR="00027EF0" w:rsidRPr="00027EF0" w:rsidRDefault="00027EF0" w:rsidP="004356C3">
            <w:pPr>
              <w:rPr>
                <w:sz w:val="15"/>
                <w:szCs w:val="15"/>
              </w:rPr>
            </w:pPr>
            <w:r w:rsidRPr="00027EF0">
              <w:rPr>
                <w:sz w:val="15"/>
                <w:szCs w:val="15"/>
              </w:rPr>
              <w:t>NA</w:t>
            </w:r>
          </w:p>
        </w:tc>
        <w:tc>
          <w:tcPr>
            <w:tcW w:w="2266" w:type="dxa"/>
          </w:tcPr>
          <w:p w14:paraId="1AD1B997" w14:textId="77777777" w:rsidR="00027EF0" w:rsidRPr="00027EF0" w:rsidRDefault="00027EF0" w:rsidP="004356C3">
            <w:pPr>
              <w:rPr>
                <w:sz w:val="15"/>
                <w:szCs w:val="15"/>
              </w:rPr>
            </w:pPr>
            <w:r w:rsidRPr="00027EF0">
              <w:rPr>
                <w:sz w:val="15"/>
                <w:szCs w:val="15"/>
              </w:rPr>
              <w:t>Bi-Level optimization (planner minimizes total transportation system cost, users minimize travel time)</w:t>
            </w:r>
          </w:p>
        </w:tc>
        <w:tc>
          <w:tcPr>
            <w:tcW w:w="1956" w:type="dxa"/>
          </w:tcPr>
          <w:p w14:paraId="7AC9A56D" w14:textId="77777777" w:rsidR="00027EF0" w:rsidRPr="00027EF0" w:rsidRDefault="00027EF0" w:rsidP="004356C3">
            <w:pPr>
              <w:rPr>
                <w:sz w:val="15"/>
                <w:szCs w:val="15"/>
              </w:rPr>
            </w:pPr>
            <w:r w:rsidRPr="00027EF0">
              <w:rPr>
                <w:sz w:val="15"/>
                <w:szCs w:val="15"/>
              </w:rPr>
              <w:t>Maximum budget</w:t>
            </w:r>
          </w:p>
        </w:tc>
      </w:tr>
      <w:tr w:rsidR="00027EF0" w:rsidRPr="00027EF0" w14:paraId="71800E61" w14:textId="77777777" w:rsidTr="004356C3">
        <w:tc>
          <w:tcPr>
            <w:tcW w:w="2249" w:type="dxa"/>
            <w:vAlign w:val="center"/>
          </w:tcPr>
          <w:p w14:paraId="31053EB0" w14:textId="77777777" w:rsidR="00027EF0" w:rsidRPr="00027EF0" w:rsidRDefault="00027EF0" w:rsidP="004356C3">
            <w:pPr>
              <w:jc w:val="center"/>
              <w:rPr>
                <w:sz w:val="15"/>
                <w:szCs w:val="15"/>
              </w:rPr>
            </w:pPr>
            <w:proofErr w:type="spellStart"/>
            <w:r w:rsidRPr="00027EF0">
              <w:rPr>
                <w:sz w:val="15"/>
                <w:szCs w:val="15"/>
              </w:rPr>
              <w:t>Ghandehari</w:t>
            </w:r>
            <w:proofErr w:type="spellEnd"/>
            <w:r w:rsidRPr="00027EF0">
              <w:rPr>
                <w:sz w:val="15"/>
                <w:szCs w:val="15"/>
              </w:rPr>
              <w:t xml:space="preserve"> et al (2013)</w:t>
            </w:r>
          </w:p>
        </w:tc>
        <w:tc>
          <w:tcPr>
            <w:tcW w:w="2139" w:type="dxa"/>
          </w:tcPr>
          <w:p w14:paraId="3142AE2B" w14:textId="77777777" w:rsidR="00027EF0" w:rsidRPr="00027EF0" w:rsidRDefault="00027EF0" w:rsidP="004356C3">
            <w:pPr>
              <w:rPr>
                <w:sz w:val="15"/>
                <w:szCs w:val="15"/>
              </w:rPr>
            </w:pPr>
            <w:r w:rsidRPr="00027EF0">
              <w:rPr>
                <w:sz w:val="15"/>
                <w:szCs w:val="15"/>
              </w:rPr>
              <w:t>Candidate locations</w:t>
            </w:r>
          </w:p>
        </w:tc>
        <w:tc>
          <w:tcPr>
            <w:tcW w:w="2250" w:type="dxa"/>
          </w:tcPr>
          <w:p w14:paraId="6620855B" w14:textId="77777777" w:rsidR="00027EF0" w:rsidRPr="00027EF0" w:rsidRDefault="00027EF0" w:rsidP="004356C3">
            <w:pPr>
              <w:rPr>
                <w:sz w:val="15"/>
                <w:szCs w:val="15"/>
              </w:rPr>
            </w:pPr>
            <w:r w:rsidRPr="00027EF0">
              <w:rPr>
                <w:sz w:val="15"/>
                <w:szCs w:val="15"/>
              </w:rPr>
              <w:t>Demand indicator proximity</w:t>
            </w:r>
          </w:p>
        </w:tc>
        <w:tc>
          <w:tcPr>
            <w:tcW w:w="2090" w:type="dxa"/>
          </w:tcPr>
          <w:p w14:paraId="08A8D6D1" w14:textId="77777777" w:rsidR="00027EF0" w:rsidRPr="00027EF0" w:rsidRDefault="00027EF0" w:rsidP="004356C3">
            <w:pPr>
              <w:rPr>
                <w:sz w:val="15"/>
                <w:szCs w:val="15"/>
              </w:rPr>
            </w:pPr>
            <w:r w:rsidRPr="00027EF0">
              <w:rPr>
                <w:sz w:val="15"/>
                <w:szCs w:val="15"/>
              </w:rPr>
              <w:t>AHP with simple additive weighting</w:t>
            </w:r>
          </w:p>
        </w:tc>
        <w:tc>
          <w:tcPr>
            <w:tcW w:w="2266" w:type="dxa"/>
          </w:tcPr>
          <w:p w14:paraId="5045D2D6" w14:textId="77777777" w:rsidR="00027EF0" w:rsidRPr="00027EF0" w:rsidRDefault="00027EF0" w:rsidP="004356C3">
            <w:pPr>
              <w:rPr>
                <w:sz w:val="15"/>
                <w:szCs w:val="15"/>
              </w:rPr>
            </w:pPr>
            <w:r w:rsidRPr="00027EF0">
              <w:rPr>
                <w:sz w:val="15"/>
                <w:szCs w:val="15"/>
              </w:rPr>
              <w:t>Combinative model minimizing deviation from goal (maximizing station utility, minimizing cost)</w:t>
            </w:r>
          </w:p>
        </w:tc>
        <w:tc>
          <w:tcPr>
            <w:tcW w:w="1956" w:type="dxa"/>
          </w:tcPr>
          <w:p w14:paraId="21B63D73" w14:textId="77777777" w:rsidR="00027EF0" w:rsidRPr="00027EF0" w:rsidRDefault="00027EF0" w:rsidP="004356C3">
            <w:pPr>
              <w:rPr>
                <w:sz w:val="15"/>
                <w:szCs w:val="15"/>
              </w:rPr>
            </w:pPr>
            <w:r w:rsidRPr="00027EF0">
              <w:rPr>
                <w:sz w:val="15"/>
                <w:szCs w:val="15"/>
              </w:rPr>
              <w:t>Minimum distance between stations</w:t>
            </w:r>
          </w:p>
          <w:p w14:paraId="67603938" w14:textId="77777777" w:rsidR="00027EF0" w:rsidRPr="00027EF0" w:rsidRDefault="00027EF0" w:rsidP="004356C3">
            <w:pPr>
              <w:rPr>
                <w:sz w:val="15"/>
                <w:szCs w:val="15"/>
              </w:rPr>
            </w:pPr>
            <w:r w:rsidRPr="00027EF0">
              <w:rPr>
                <w:sz w:val="15"/>
                <w:szCs w:val="15"/>
              </w:rPr>
              <w:t>Maximum # stations</w:t>
            </w:r>
          </w:p>
        </w:tc>
      </w:tr>
    </w:tbl>
    <w:p w14:paraId="5BCDC520" w14:textId="77777777" w:rsidR="00E163BF" w:rsidRDefault="00E163BF" w:rsidP="00835E9B"/>
    <w:sectPr w:rsidR="00E163BF" w:rsidSect="00D4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AA"/>
    <w:rsid w:val="00004275"/>
    <w:rsid w:val="000177AD"/>
    <w:rsid w:val="00024921"/>
    <w:rsid w:val="00027EF0"/>
    <w:rsid w:val="0003051A"/>
    <w:rsid w:val="0008258E"/>
    <w:rsid w:val="000C124B"/>
    <w:rsid w:val="000C5E1F"/>
    <w:rsid w:val="00117573"/>
    <w:rsid w:val="00123B82"/>
    <w:rsid w:val="00131388"/>
    <w:rsid w:val="00145BDB"/>
    <w:rsid w:val="00151B0C"/>
    <w:rsid w:val="001576B3"/>
    <w:rsid w:val="001A0DF5"/>
    <w:rsid w:val="001A3D00"/>
    <w:rsid w:val="001B33A0"/>
    <w:rsid w:val="001B3FAD"/>
    <w:rsid w:val="001C6285"/>
    <w:rsid w:val="0023729E"/>
    <w:rsid w:val="002440FB"/>
    <w:rsid w:val="002A0A57"/>
    <w:rsid w:val="002A7ADE"/>
    <w:rsid w:val="002C711A"/>
    <w:rsid w:val="002E08CC"/>
    <w:rsid w:val="002E6703"/>
    <w:rsid w:val="0030277E"/>
    <w:rsid w:val="00305B16"/>
    <w:rsid w:val="00310ED6"/>
    <w:rsid w:val="00331C35"/>
    <w:rsid w:val="00335532"/>
    <w:rsid w:val="00336AC1"/>
    <w:rsid w:val="0035220E"/>
    <w:rsid w:val="00357C00"/>
    <w:rsid w:val="00367D5F"/>
    <w:rsid w:val="00372848"/>
    <w:rsid w:val="00375CC7"/>
    <w:rsid w:val="0038200C"/>
    <w:rsid w:val="003862A1"/>
    <w:rsid w:val="003928B1"/>
    <w:rsid w:val="003A59F4"/>
    <w:rsid w:val="003B030E"/>
    <w:rsid w:val="003B5BAA"/>
    <w:rsid w:val="003D08B3"/>
    <w:rsid w:val="003D5505"/>
    <w:rsid w:val="003F1903"/>
    <w:rsid w:val="00414172"/>
    <w:rsid w:val="00422730"/>
    <w:rsid w:val="00430E40"/>
    <w:rsid w:val="004364AA"/>
    <w:rsid w:val="004502F8"/>
    <w:rsid w:val="004533BC"/>
    <w:rsid w:val="00456297"/>
    <w:rsid w:val="00473CF8"/>
    <w:rsid w:val="00474923"/>
    <w:rsid w:val="004868B8"/>
    <w:rsid w:val="0049298B"/>
    <w:rsid w:val="004C0BCB"/>
    <w:rsid w:val="004C3E4F"/>
    <w:rsid w:val="004C5E19"/>
    <w:rsid w:val="004D42C8"/>
    <w:rsid w:val="0050340D"/>
    <w:rsid w:val="00510258"/>
    <w:rsid w:val="005118B8"/>
    <w:rsid w:val="00514396"/>
    <w:rsid w:val="00517B60"/>
    <w:rsid w:val="0054209D"/>
    <w:rsid w:val="00546C74"/>
    <w:rsid w:val="005536CE"/>
    <w:rsid w:val="005823D8"/>
    <w:rsid w:val="00586802"/>
    <w:rsid w:val="005B3BA2"/>
    <w:rsid w:val="005C0124"/>
    <w:rsid w:val="005D2B15"/>
    <w:rsid w:val="005E5DA2"/>
    <w:rsid w:val="005F4402"/>
    <w:rsid w:val="005F6654"/>
    <w:rsid w:val="0061038F"/>
    <w:rsid w:val="0062433D"/>
    <w:rsid w:val="00630E53"/>
    <w:rsid w:val="0063747D"/>
    <w:rsid w:val="00637793"/>
    <w:rsid w:val="00661B1C"/>
    <w:rsid w:val="00663FD5"/>
    <w:rsid w:val="00670BFB"/>
    <w:rsid w:val="00681734"/>
    <w:rsid w:val="00692C11"/>
    <w:rsid w:val="006B469D"/>
    <w:rsid w:val="006D2227"/>
    <w:rsid w:val="006D510E"/>
    <w:rsid w:val="006E1F19"/>
    <w:rsid w:val="006E372B"/>
    <w:rsid w:val="0071270D"/>
    <w:rsid w:val="0075034D"/>
    <w:rsid w:val="007658B9"/>
    <w:rsid w:val="007754BC"/>
    <w:rsid w:val="00782BB7"/>
    <w:rsid w:val="0079513D"/>
    <w:rsid w:val="007C0CFA"/>
    <w:rsid w:val="007C74FB"/>
    <w:rsid w:val="007D2B8A"/>
    <w:rsid w:val="007E3DDC"/>
    <w:rsid w:val="00802F77"/>
    <w:rsid w:val="00804294"/>
    <w:rsid w:val="00811D0B"/>
    <w:rsid w:val="00812091"/>
    <w:rsid w:val="00830641"/>
    <w:rsid w:val="00835E9B"/>
    <w:rsid w:val="00855E8E"/>
    <w:rsid w:val="00861140"/>
    <w:rsid w:val="00891DCC"/>
    <w:rsid w:val="00897F4A"/>
    <w:rsid w:val="008A5C44"/>
    <w:rsid w:val="008C0DB5"/>
    <w:rsid w:val="008D783B"/>
    <w:rsid w:val="009042F7"/>
    <w:rsid w:val="00904908"/>
    <w:rsid w:val="00956C9E"/>
    <w:rsid w:val="009748D2"/>
    <w:rsid w:val="00977EA3"/>
    <w:rsid w:val="009A184F"/>
    <w:rsid w:val="009B59ED"/>
    <w:rsid w:val="009F4752"/>
    <w:rsid w:val="00A034E0"/>
    <w:rsid w:val="00A0526C"/>
    <w:rsid w:val="00A116E0"/>
    <w:rsid w:val="00A27DB5"/>
    <w:rsid w:val="00A50C73"/>
    <w:rsid w:val="00A5671B"/>
    <w:rsid w:val="00A83B24"/>
    <w:rsid w:val="00A92391"/>
    <w:rsid w:val="00AA7F23"/>
    <w:rsid w:val="00AB0E08"/>
    <w:rsid w:val="00AC4E96"/>
    <w:rsid w:val="00AD2A3E"/>
    <w:rsid w:val="00AD3214"/>
    <w:rsid w:val="00AD3C34"/>
    <w:rsid w:val="00AF34C3"/>
    <w:rsid w:val="00B0572B"/>
    <w:rsid w:val="00B14BD5"/>
    <w:rsid w:val="00B22E5C"/>
    <w:rsid w:val="00B23C2A"/>
    <w:rsid w:val="00B2417A"/>
    <w:rsid w:val="00B34027"/>
    <w:rsid w:val="00B36F5F"/>
    <w:rsid w:val="00B46FE1"/>
    <w:rsid w:val="00B658BE"/>
    <w:rsid w:val="00B67332"/>
    <w:rsid w:val="00B751DC"/>
    <w:rsid w:val="00B8418C"/>
    <w:rsid w:val="00B8486D"/>
    <w:rsid w:val="00B852ED"/>
    <w:rsid w:val="00B90106"/>
    <w:rsid w:val="00BB08BF"/>
    <w:rsid w:val="00BB5B67"/>
    <w:rsid w:val="00BB610D"/>
    <w:rsid w:val="00BC796B"/>
    <w:rsid w:val="00BC7A1F"/>
    <w:rsid w:val="00BD13CD"/>
    <w:rsid w:val="00BD57D3"/>
    <w:rsid w:val="00BE2021"/>
    <w:rsid w:val="00BF1BF1"/>
    <w:rsid w:val="00C005D0"/>
    <w:rsid w:val="00C07874"/>
    <w:rsid w:val="00C16AD8"/>
    <w:rsid w:val="00C30991"/>
    <w:rsid w:val="00C40C71"/>
    <w:rsid w:val="00CB6F39"/>
    <w:rsid w:val="00D10EDD"/>
    <w:rsid w:val="00D17BA1"/>
    <w:rsid w:val="00D31AD6"/>
    <w:rsid w:val="00D4438D"/>
    <w:rsid w:val="00D5558B"/>
    <w:rsid w:val="00D76DED"/>
    <w:rsid w:val="00DA21A0"/>
    <w:rsid w:val="00DB26C0"/>
    <w:rsid w:val="00DF6684"/>
    <w:rsid w:val="00E14925"/>
    <w:rsid w:val="00E163BF"/>
    <w:rsid w:val="00E344F8"/>
    <w:rsid w:val="00E63751"/>
    <w:rsid w:val="00E64588"/>
    <w:rsid w:val="00E75F2D"/>
    <w:rsid w:val="00E82CBD"/>
    <w:rsid w:val="00EB07D8"/>
    <w:rsid w:val="00EC1C93"/>
    <w:rsid w:val="00EC2566"/>
    <w:rsid w:val="00EE1A34"/>
    <w:rsid w:val="00EE7EFD"/>
    <w:rsid w:val="00F149D7"/>
    <w:rsid w:val="00F36DB2"/>
    <w:rsid w:val="00F442EF"/>
    <w:rsid w:val="00F6250A"/>
    <w:rsid w:val="00F754C2"/>
    <w:rsid w:val="00F77805"/>
    <w:rsid w:val="00F81C52"/>
    <w:rsid w:val="00FB39E1"/>
    <w:rsid w:val="00FD7193"/>
    <w:rsid w:val="00FE5071"/>
    <w:rsid w:val="00FE770D"/>
    <w:rsid w:val="00FF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9719"/>
  <w15:chartTrackingRefBased/>
  <w15:docId w15:val="{3E39060D-4A78-E04F-831D-C8A7C8C8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5D0"/>
    <w:rPr>
      <w:color w:val="0563C1" w:themeColor="hyperlink"/>
      <w:u w:val="single"/>
    </w:rPr>
  </w:style>
  <w:style w:type="character" w:styleId="UnresolvedMention">
    <w:name w:val="Unresolved Mention"/>
    <w:basedOn w:val="DefaultParagraphFont"/>
    <w:uiPriority w:val="99"/>
    <w:semiHidden/>
    <w:unhideWhenUsed/>
    <w:rsid w:val="00C005D0"/>
    <w:rPr>
      <w:color w:val="605E5C"/>
      <w:shd w:val="clear" w:color="auto" w:fill="E1DFDD"/>
    </w:rPr>
  </w:style>
  <w:style w:type="table" w:styleId="TableGrid">
    <w:name w:val="Table Grid"/>
    <w:basedOn w:val="TableNormal"/>
    <w:uiPriority w:val="39"/>
    <w:rsid w:val="00027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143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nlc.org/article/2022/06/03/bikeshare-solutions-for-small-cities-tow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DeBruin</dc:creator>
  <cp:keywords/>
  <dc:description/>
  <cp:lastModifiedBy>Hannah DeBruin</cp:lastModifiedBy>
  <cp:revision>184</cp:revision>
  <dcterms:created xsi:type="dcterms:W3CDTF">2023-03-17T14:10:00Z</dcterms:created>
  <dcterms:modified xsi:type="dcterms:W3CDTF">2023-03-19T15:56:00Z</dcterms:modified>
</cp:coreProperties>
</file>