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62D2" w14:textId="2B4FED1E" w:rsidR="006A2D4F" w:rsidRDefault="006A2D4F" w:rsidP="004F5199">
      <w:pPr>
        <w:spacing w:after="0"/>
        <w:jc w:val="center"/>
        <w:rPr>
          <w:b/>
          <w:bCs/>
          <w:sz w:val="32"/>
          <w:szCs w:val="32"/>
          <w:u w:val="single"/>
        </w:rPr>
      </w:pPr>
      <w:r>
        <w:rPr>
          <w:b/>
          <w:bCs/>
          <w:sz w:val="32"/>
          <w:szCs w:val="32"/>
          <w:u w:val="single"/>
        </w:rPr>
        <w:t>Visuali</w:t>
      </w:r>
      <w:r w:rsidRPr="003D5A0A">
        <w:rPr>
          <w:b/>
          <w:bCs/>
          <w:sz w:val="32"/>
          <w:szCs w:val="32"/>
          <w:u w:val="single"/>
        </w:rPr>
        <w:t>zing Housing Prices Data in Metropolitan Areas of India</w:t>
      </w:r>
    </w:p>
    <w:p w14:paraId="0C09DC19" w14:textId="77777777" w:rsidR="006A2D4F" w:rsidRDefault="006A2D4F" w:rsidP="006A2D4F">
      <w:pPr>
        <w:ind w:left="-180"/>
        <w:jc w:val="center"/>
        <w:rPr>
          <w:b/>
          <w:bCs/>
        </w:rPr>
      </w:pPr>
      <w:r w:rsidRPr="003D5A0A">
        <w:rPr>
          <w:b/>
          <w:bCs/>
        </w:rPr>
        <w:t xml:space="preserve">Data Source- </w:t>
      </w:r>
      <w:hyperlink r:id="rId5" w:history="1">
        <w:r w:rsidRPr="000A4099">
          <w:rPr>
            <w:rStyle w:val="Hyperlink"/>
          </w:rPr>
          <w:t>https://www.kaggle.com/datasets/ruchi798/housing-prices-in-metropolitan-areas-of-india</w:t>
        </w:r>
      </w:hyperlink>
    </w:p>
    <w:p w14:paraId="3AF4E3E5" w14:textId="77777777" w:rsidR="009D5135" w:rsidRDefault="009D5135" w:rsidP="009D5135">
      <w:pPr>
        <w:rPr>
          <w:b/>
          <w:bCs/>
        </w:rPr>
      </w:pPr>
      <w:r w:rsidRPr="0008667B">
        <w:rPr>
          <w:rFonts w:ascii="Segoe UI Emoji" w:hAnsi="Segoe UI Emoji" w:cs="Segoe UI Emoji"/>
        </w:rPr>
        <w:t>✅</w:t>
      </w:r>
      <w:r w:rsidRPr="0008667B">
        <w:t xml:space="preserve"> </w:t>
      </w:r>
      <w:r w:rsidRPr="0008667B">
        <w:rPr>
          <w:b/>
          <w:bCs/>
        </w:rPr>
        <w:t xml:space="preserve">TASK 3: Data Visualization </w:t>
      </w:r>
    </w:p>
    <w:p w14:paraId="37CD1F6E" w14:textId="533B91E8" w:rsidR="00587592" w:rsidRDefault="00587592" w:rsidP="00587592">
      <w:pPr>
        <w:spacing w:after="0"/>
        <w:rPr>
          <w:b/>
          <w:bCs/>
          <w:sz w:val="28"/>
          <w:szCs w:val="28"/>
          <w:u w:val="single"/>
        </w:rPr>
      </w:pPr>
      <w:r w:rsidRPr="00587592">
        <w:rPr>
          <w:b/>
          <w:bCs/>
          <w:sz w:val="28"/>
          <w:szCs w:val="28"/>
          <w:u w:val="single"/>
        </w:rPr>
        <w:t>Project Introduction: Bangalore Housing Market Visualization</w:t>
      </w:r>
    </w:p>
    <w:p w14:paraId="1013D0E5" w14:textId="77777777" w:rsidR="00587592" w:rsidRPr="00460FE7" w:rsidRDefault="00587592" w:rsidP="00587592">
      <w:pPr>
        <w:spacing w:after="0"/>
        <w:rPr>
          <w:b/>
          <w:bCs/>
          <w:sz w:val="10"/>
          <w:szCs w:val="10"/>
          <w:u w:val="single"/>
        </w:rPr>
      </w:pPr>
    </w:p>
    <w:p w14:paraId="2F7A0F66" w14:textId="11B3E7BF" w:rsidR="00587592" w:rsidRDefault="00587592" w:rsidP="00587592">
      <w:pPr>
        <w:spacing w:after="0"/>
      </w:pPr>
      <w:r w:rsidRPr="00587592">
        <w:t>This project analyzes Bangalore housing prices using data visualization. We explore price distribution, the impact of area and bedrooms, and location-based value. The goal is to provide clear, data-driven insights for informed real estate decisions, transforming complex data into a compelling visual story.</w:t>
      </w:r>
    </w:p>
    <w:p w14:paraId="64C9231D" w14:textId="77777777" w:rsidR="00587592" w:rsidRPr="00460FE7" w:rsidRDefault="00587592" w:rsidP="00587592">
      <w:pPr>
        <w:spacing w:after="0"/>
        <w:rPr>
          <w:sz w:val="6"/>
          <w:szCs w:val="6"/>
        </w:rPr>
      </w:pPr>
    </w:p>
    <w:p w14:paraId="6594918F" w14:textId="46E3AB61" w:rsidR="004F5199" w:rsidRDefault="009D5135" w:rsidP="004F5199">
      <w:pPr>
        <w:spacing w:after="0"/>
        <w:rPr>
          <w:b/>
          <w:bCs/>
        </w:rPr>
      </w:pPr>
      <w:r w:rsidRPr="00587592">
        <w:rPr>
          <w:b/>
          <w:bCs/>
          <w:u w:val="single"/>
        </w:rPr>
        <w:t>Step 1:</w:t>
      </w:r>
      <w:r w:rsidRPr="0008667B">
        <w:t xml:space="preserve"> </w:t>
      </w:r>
      <w:r w:rsidRPr="0008667B">
        <w:rPr>
          <w:b/>
          <w:bCs/>
        </w:rPr>
        <w:t>Transform raw data into visual formats like charts, graphs, and dashboard</w:t>
      </w:r>
      <w:r>
        <w:rPr>
          <w:b/>
          <w:bCs/>
        </w:rPr>
        <w:t xml:space="preserve"> using </w:t>
      </w:r>
      <w:r w:rsidR="00BD5BB2">
        <w:rPr>
          <w:b/>
          <w:bCs/>
        </w:rPr>
        <w:t>p</w:t>
      </w:r>
      <w:r w:rsidR="004F5199">
        <w:rPr>
          <w:b/>
          <w:bCs/>
        </w:rPr>
        <w:t>ython packages.</w:t>
      </w:r>
      <w:r w:rsidR="00BD5BB2">
        <w:rPr>
          <w:b/>
          <w:bCs/>
        </w:rPr>
        <w:t xml:space="preserve"> </w:t>
      </w:r>
      <w:r w:rsidR="00460FE7" w:rsidRPr="0008667B">
        <w:rPr>
          <w:b/>
          <w:bCs/>
        </w:rPr>
        <w:t>Craft compelling data stories that support decision-making</w:t>
      </w:r>
      <w:r w:rsidR="00460FE7">
        <w:rPr>
          <w:b/>
          <w:bCs/>
        </w:rPr>
        <w:t>: Interpreting the visuals and revealing the insights.</w:t>
      </w:r>
    </w:p>
    <w:p w14:paraId="3BD7760E" w14:textId="77777777" w:rsidR="00587592" w:rsidRPr="00460FE7" w:rsidRDefault="00587592" w:rsidP="004F5199">
      <w:pPr>
        <w:spacing w:after="0"/>
        <w:rPr>
          <w:b/>
          <w:bCs/>
          <w:sz w:val="8"/>
          <w:szCs w:val="8"/>
        </w:rPr>
      </w:pPr>
    </w:p>
    <w:p w14:paraId="495F9378" w14:textId="6B10351A" w:rsidR="00587592" w:rsidRPr="00007A69" w:rsidRDefault="00007A69" w:rsidP="00460FE7">
      <w:pPr>
        <w:pStyle w:val="ListParagraph"/>
        <w:numPr>
          <w:ilvl w:val="0"/>
          <w:numId w:val="5"/>
        </w:numPr>
        <w:spacing w:after="0"/>
        <w:ind w:left="270" w:hanging="270"/>
      </w:pPr>
      <w:r w:rsidRPr="004F5199">
        <w:rPr>
          <w:b/>
          <w:bCs/>
        </w:rPr>
        <w:t>Distribution of Housing Prices (Histogram):</w:t>
      </w:r>
      <w:r w:rsidRPr="00B16B54">
        <w:t xml:space="preserve"> This helps to understand the frequency of different price ranges in the dataset.</w:t>
      </w:r>
    </w:p>
    <w:p w14:paraId="3BF647B4" w14:textId="307AE30F" w:rsidR="00BF5EA9" w:rsidRDefault="00BF5EA9" w:rsidP="00BF5EA9">
      <w:pPr>
        <w:spacing w:after="0"/>
        <w:jc w:val="center"/>
        <w:rPr>
          <w:b/>
          <w:bCs/>
        </w:rPr>
      </w:pPr>
      <w:r>
        <w:rPr>
          <w:noProof/>
        </w:rPr>
        <w:drawing>
          <wp:inline distT="0" distB="0" distL="0" distR="0" wp14:anchorId="75658FD6" wp14:editId="1E7321CF">
            <wp:extent cx="5492061" cy="3672205"/>
            <wp:effectExtent l="0" t="0" r="0" b="4445"/>
            <wp:docPr id="127447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3035" name=""/>
                    <pic:cNvPicPr/>
                  </pic:nvPicPr>
                  <pic:blipFill>
                    <a:blip r:embed="rId6"/>
                    <a:stretch>
                      <a:fillRect/>
                    </a:stretch>
                  </pic:blipFill>
                  <pic:spPr>
                    <a:xfrm>
                      <a:off x="0" y="0"/>
                      <a:ext cx="5552047" cy="3712314"/>
                    </a:xfrm>
                    <a:prstGeom prst="rect">
                      <a:avLst/>
                    </a:prstGeom>
                  </pic:spPr>
                </pic:pic>
              </a:graphicData>
            </a:graphic>
          </wp:inline>
        </w:drawing>
      </w:r>
    </w:p>
    <w:p w14:paraId="1F404631" w14:textId="77777777" w:rsidR="00460FE7" w:rsidRDefault="00460FE7" w:rsidP="00460FE7">
      <w:pPr>
        <w:pStyle w:val="ListParagraph"/>
        <w:numPr>
          <w:ilvl w:val="0"/>
          <w:numId w:val="4"/>
        </w:numPr>
        <w:tabs>
          <w:tab w:val="left" w:pos="720"/>
        </w:tabs>
        <w:ind w:left="720" w:hanging="270"/>
      </w:pPr>
      <w:r w:rsidRPr="00007A69">
        <w:t>The histogram is heavily right-skewed</w:t>
      </w:r>
      <w:r>
        <w:t xml:space="preserve">, indicating </w:t>
      </w:r>
      <w:r w:rsidRPr="00007A69">
        <w:t>a very large number of properties are concentrated at the lower end of the price spectrum.</w:t>
      </w:r>
      <w:r>
        <w:t xml:space="preserve"> </w:t>
      </w:r>
    </w:p>
    <w:p w14:paraId="7FD18962" w14:textId="77777777" w:rsidR="00460FE7" w:rsidRDefault="00460FE7" w:rsidP="00460FE7">
      <w:pPr>
        <w:pStyle w:val="ListParagraph"/>
        <w:numPr>
          <w:ilvl w:val="0"/>
          <w:numId w:val="4"/>
        </w:numPr>
        <w:tabs>
          <w:tab w:val="left" w:pos="720"/>
        </w:tabs>
        <w:ind w:left="720" w:hanging="270"/>
      </w:pPr>
      <w:r w:rsidRPr="00007A69">
        <w:t>There's a very tall, narrow peak on the far left, indicating that the most frequent prices are relatively low</w:t>
      </w:r>
      <w:r>
        <w:t>.</w:t>
      </w:r>
    </w:p>
    <w:p w14:paraId="24907C4C" w14:textId="77777777" w:rsidR="00460FE7" w:rsidRDefault="00460FE7" w:rsidP="00460FE7">
      <w:pPr>
        <w:pStyle w:val="ListParagraph"/>
        <w:numPr>
          <w:ilvl w:val="0"/>
          <w:numId w:val="4"/>
        </w:numPr>
        <w:tabs>
          <w:tab w:val="left" w:pos="720"/>
        </w:tabs>
        <w:ind w:left="720" w:hanging="270"/>
      </w:pPr>
      <w:r w:rsidRPr="00A0283B">
        <w:t xml:space="preserve">The curve (KDE - Kernel Density Estimate) and the bars gradually decrease in height as </w:t>
      </w:r>
      <w:r>
        <w:t>one</w:t>
      </w:r>
      <w:r w:rsidRPr="00A0283B">
        <w:t xml:space="preserve"> move</w:t>
      </w:r>
      <w:r>
        <w:t>s</w:t>
      </w:r>
      <w:r w:rsidRPr="00A0283B">
        <w:t xml:space="preserve"> to the right, forming a long "tail."</w:t>
      </w:r>
    </w:p>
    <w:p w14:paraId="5237F910" w14:textId="11475F9E" w:rsidR="00460FE7" w:rsidRPr="00460FE7" w:rsidRDefault="00460FE7" w:rsidP="00460FE7">
      <w:pPr>
        <w:pStyle w:val="ListParagraph"/>
        <w:numPr>
          <w:ilvl w:val="0"/>
          <w:numId w:val="6"/>
        </w:numPr>
        <w:tabs>
          <w:tab w:val="left" w:pos="720"/>
        </w:tabs>
        <w:ind w:left="720" w:hanging="270"/>
      </w:pPr>
      <w:r w:rsidRPr="00A0283B">
        <w:t>The market has a strong base of more affordable properties. Most transactions or listings fall within</w:t>
      </w:r>
      <w:r>
        <w:t xml:space="preserve"> </w:t>
      </w:r>
      <w:r w:rsidRPr="00A0283B">
        <w:t>a lower price range.</w:t>
      </w:r>
      <w:r>
        <w:t xml:space="preserve"> L</w:t>
      </w:r>
      <w:r w:rsidRPr="00A0283B">
        <w:t>uxury</w:t>
      </w:r>
      <w:r>
        <w:t xml:space="preserve"> segment </w:t>
      </w:r>
      <w:r w:rsidRPr="00A0283B">
        <w:t>represents a much smaller portion of the overall market in terms of volume.</w:t>
      </w:r>
      <w:r>
        <w:t xml:space="preserve"> Thus, we can conclude </w:t>
      </w:r>
      <w:r w:rsidRPr="00A0283B">
        <w:t>t</w:t>
      </w:r>
      <w:r>
        <w:t>hat t</w:t>
      </w:r>
      <w:r w:rsidRPr="00A0283B">
        <w:t>he typical buyer o</w:t>
      </w:r>
      <w:r>
        <w:t xml:space="preserve">f </w:t>
      </w:r>
      <w:r w:rsidRPr="00A0283B">
        <w:t>property in this dataset is not in the ultra-luxury segment.</w:t>
      </w:r>
    </w:p>
    <w:p w14:paraId="6D2A66FA" w14:textId="4839D5CB" w:rsidR="004F5199" w:rsidRDefault="00007A69" w:rsidP="004F5199">
      <w:pPr>
        <w:pStyle w:val="ListParagraph"/>
        <w:numPr>
          <w:ilvl w:val="0"/>
          <w:numId w:val="2"/>
        </w:numPr>
        <w:spacing w:after="0"/>
        <w:ind w:left="270" w:hanging="270"/>
      </w:pPr>
      <w:r w:rsidRPr="00A67A7C">
        <w:rPr>
          <w:b/>
          <w:bCs/>
        </w:rPr>
        <w:lastRenderedPageBreak/>
        <w:t>Housing Price vs. Area (Scatter Plot):</w:t>
      </w:r>
      <w:r w:rsidRPr="00B16B54">
        <w:t xml:space="preserve"> This </w:t>
      </w:r>
      <w:r w:rsidR="00587592">
        <w:t xml:space="preserve">gives </w:t>
      </w:r>
      <w:r w:rsidRPr="00B16B54">
        <w:t>the relationship between the size of a property and its price.</w:t>
      </w:r>
    </w:p>
    <w:p w14:paraId="59A649CA" w14:textId="77777777" w:rsidR="00460FE7" w:rsidRPr="004F5199" w:rsidRDefault="00460FE7" w:rsidP="00460FE7">
      <w:pPr>
        <w:pStyle w:val="ListParagraph"/>
        <w:spacing w:after="0"/>
        <w:ind w:left="270"/>
      </w:pPr>
    </w:p>
    <w:p w14:paraId="6E1A529E" w14:textId="66EB550B" w:rsidR="00BF5EA9" w:rsidRDefault="00BF5EA9" w:rsidP="00BF5EA9">
      <w:pPr>
        <w:spacing w:after="0"/>
        <w:jc w:val="center"/>
        <w:rPr>
          <w:b/>
          <w:bCs/>
        </w:rPr>
      </w:pPr>
      <w:r>
        <w:rPr>
          <w:noProof/>
        </w:rPr>
        <w:drawing>
          <wp:inline distT="0" distB="0" distL="0" distR="0" wp14:anchorId="78DC2987" wp14:editId="21FA160A">
            <wp:extent cx="6372225" cy="3990919"/>
            <wp:effectExtent l="0" t="0" r="0" b="0"/>
            <wp:docPr id="182842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24947" name=""/>
                    <pic:cNvPicPr/>
                  </pic:nvPicPr>
                  <pic:blipFill>
                    <a:blip r:embed="rId7"/>
                    <a:stretch>
                      <a:fillRect/>
                    </a:stretch>
                  </pic:blipFill>
                  <pic:spPr>
                    <a:xfrm>
                      <a:off x="0" y="0"/>
                      <a:ext cx="6430191" cy="4027223"/>
                    </a:xfrm>
                    <a:prstGeom prst="rect">
                      <a:avLst/>
                    </a:prstGeom>
                  </pic:spPr>
                </pic:pic>
              </a:graphicData>
            </a:graphic>
          </wp:inline>
        </w:drawing>
      </w:r>
    </w:p>
    <w:p w14:paraId="11AF1D4B" w14:textId="77777777" w:rsidR="00460FE7" w:rsidRDefault="00460FE7" w:rsidP="00BF5EA9">
      <w:pPr>
        <w:spacing w:after="0"/>
        <w:jc w:val="center"/>
        <w:rPr>
          <w:b/>
          <w:bCs/>
        </w:rPr>
      </w:pPr>
    </w:p>
    <w:p w14:paraId="1145ADD8" w14:textId="77777777" w:rsidR="00460FE7" w:rsidRDefault="00460FE7" w:rsidP="00460FE7">
      <w:pPr>
        <w:pStyle w:val="ListParagraph"/>
        <w:numPr>
          <w:ilvl w:val="0"/>
          <w:numId w:val="7"/>
        </w:numPr>
        <w:tabs>
          <w:tab w:val="left" w:pos="450"/>
        </w:tabs>
        <w:ind w:left="720" w:hanging="270"/>
      </w:pPr>
      <w:r w:rsidRPr="00931269">
        <w:t xml:space="preserve">There's a clear </w:t>
      </w:r>
      <w:r w:rsidRPr="00931269">
        <w:rPr>
          <w:b/>
          <w:bCs/>
        </w:rPr>
        <w:t>positive correlation</w:t>
      </w:r>
      <w:r w:rsidRPr="00931269">
        <w:t xml:space="preserve"> between Area and Price</w:t>
      </w:r>
      <w:r>
        <w:t xml:space="preserve">. </w:t>
      </w:r>
      <w:r w:rsidRPr="00BF2E38">
        <w:t>This is expected: larger homes generally cost more.</w:t>
      </w:r>
    </w:p>
    <w:p w14:paraId="392ADF42" w14:textId="77777777" w:rsidR="00460FE7" w:rsidRDefault="00460FE7" w:rsidP="00460FE7">
      <w:pPr>
        <w:pStyle w:val="ListParagraph"/>
        <w:numPr>
          <w:ilvl w:val="0"/>
          <w:numId w:val="7"/>
        </w:numPr>
        <w:tabs>
          <w:tab w:val="left" w:pos="450"/>
        </w:tabs>
        <w:ind w:left="720" w:hanging="270"/>
      </w:pPr>
      <w:r w:rsidRPr="00BF2E38">
        <w:t>Most of the data points are clustered in the lower-left portion of the graph, indicating that a majority of properties are smaller in area and lower in price. This aligns with the histogram's observation of many properties in lower price ranges.</w:t>
      </w:r>
    </w:p>
    <w:p w14:paraId="3CC3ABC3" w14:textId="77777777" w:rsidR="00460FE7" w:rsidRDefault="00460FE7" w:rsidP="00460FE7">
      <w:pPr>
        <w:pStyle w:val="ListParagraph"/>
        <w:numPr>
          <w:ilvl w:val="0"/>
          <w:numId w:val="7"/>
        </w:numPr>
        <w:tabs>
          <w:tab w:val="left" w:pos="450"/>
        </w:tabs>
        <w:ind w:left="720" w:hanging="270"/>
      </w:pPr>
      <w:r w:rsidRPr="00BF2E38">
        <w:rPr>
          <w:b/>
          <w:bCs/>
        </w:rPr>
        <w:t>Influence of Bedrooms (Color Insight)-</w:t>
      </w:r>
      <w:r>
        <w:t xml:space="preserve"> F</w:t>
      </w:r>
      <w:r w:rsidRPr="00BF2E38">
        <w:t>ewer bedrooms (purple/blue dots) are predominantly found in the lower-left, indicating smaller areas and lower prices.</w:t>
      </w:r>
      <w:r>
        <w:t xml:space="preserve"> </w:t>
      </w:r>
      <w:r w:rsidRPr="00BF2E38">
        <w:t>(</w:t>
      </w:r>
      <w:r>
        <w:t>G</w:t>
      </w:r>
      <w:r w:rsidRPr="00BF2E38">
        <w:t>reen/yellow dots)</w:t>
      </w:r>
      <w:r>
        <w:t xml:space="preserve"> are higher in concentration </w:t>
      </w:r>
      <w:r w:rsidRPr="00BF2E38">
        <w:t>towards larger areas and higher prices</w:t>
      </w:r>
      <w:r>
        <w:t>. T</w:t>
      </w:r>
      <w:r w:rsidRPr="00BF2E38">
        <w:t>hough rare</w:t>
      </w:r>
      <w:r>
        <w:t>, houses with fewer bedrooms are found at higher areas.</w:t>
      </w:r>
    </w:p>
    <w:p w14:paraId="63C1746A" w14:textId="5DECCC1A" w:rsidR="00575CC2" w:rsidRPr="00575CC2" w:rsidRDefault="00460FE7" w:rsidP="00575CC2">
      <w:pPr>
        <w:pStyle w:val="ListParagraph"/>
        <w:numPr>
          <w:ilvl w:val="0"/>
          <w:numId w:val="7"/>
        </w:numPr>
        <w:tabs>
          <w:tab w:val="left" w:pos="450"/>
        </w:tabs>
        <w:ind w:left="720" w:hanging="270"/>
        <w:rPr>
          <w:b/>
          <w:bCs/>
        </w:rPr>
      </w:pPr>
      <w:r w:rsidRPr="00BF2E38">
        <w:rPr>
          <w:b/>
          <w:bCs/>
        </w:rPr>
        <w:t xml:space="preserve">Outliers: </w:t>
      </w:r>
    </w:p>
    <w:p w14:paraId="768602B1" w14:textId="77777777" w:rsidR="00460FE7" w:rsidRDefault="00460FE7" w:rsidP="00460FE7">
      <w:pPr>
        <w:pStyle w:val="ListParagraph"/>
        <w:numPr>
          <w:ilvl w:val="0"/>
          <w:numId w:val="7"/>
        </w:numPr>
        <w:tabs>
          <w:tab w:val="left" w:pos="450"/>
        </w:tabs>
        <w:rPr>
          <w:b/>
          <w:bCs/>
        </w:rPr>
      </w:pPr>
      <w:r w:rsidRPr="00BF2E38">
        <w:rPr>
          <w:b/>
          <w:bCs/>
        </w:rPr>
        <w:t>High Price for Low Area:</w:t>
      </w:r>
      <w:r>
        <w:rPr>
          <w:b/>
          <w:bCs/>
        </w:rPr>
        <w:t xml:space="preserve"> </w:t>
      </w:r>
      <w:r w:rsidRPr="00BF2E38">
        <w:t>These could be luxury apartments in prime locations.</w:t>
      </w:r>
    </w:p>
    <w:p w14:paraId="198772F5" w14:textId="1B6F913E" w:rsidR="00460FE7" w:rsidRDefault="00460FE7" w:rsidP="00460FE7">
      <w:pPr>
        <w:pStyle w:val="ListParagraph"/>
        <w:numPr>
          <w:ilvl w:val="0"/>
          <w:numId w:val="7"/>
        </w:numPr>
        <w:tabs>
          <w:tab w:val="left" w:pos="450"/>
        </w:tabs>
      </w:pPr>
      <w:r w:rsidRPr="00BF2E38">
        <w:rPr>
          <w:b/>
          <w:bCs/>
        </w:rPr>
        <w:t>Low Price for High Area:</w:t>
      </w:r>
      <w:r>
        <w:rPr>
          <w:b/>
          <w:bCs/>
        </w:rPr>
        <w:t xml:space="preserve"> </w:t>
      </w:r>
      <w:r w:rsidRPr="00BF2E38">
        <w:t>These might represent properties in less developed areas, properties needing significant renovation, or potential distressed sales.</w:t>
      </w:r>
    </w:p>
    <w:p w14:paraId="7FB9A5C5" w14:textId="77777777" w:rsidR="00460FE7" w:rsidRDefault="00460FE7" w:rsidP="00460FE7">
      <w:pPr>
        <w:tabs>
          <w:tab w:val="left" w:pos="450"/>
        </w:tabs>
      </w:pPr>
    </w:p>
    <w:p w14:paraId="3519C9AE" w14:textId="77777777" w:rsidR="00460FE7" w:rsidRDefault="00460FE7" w:rsidP="00460FE7">
      <w:pPr>
        <w:tabs>
          <w:tab w:val="left" w:pos="450"/>
        </w:tabs>
      </w:pPr>
    </w:p>
    <w:p w14:paraId="1EB5EAF8" w14:textId="77777777" w:rsidR="00575CC2" w:rsidRDefault="00575CC2" w:rsidP="00460FE7">
      <w:pPr>
        <w:tabs>
          <w:tab w:val="left" w:pos="450"/>
        </w:tabs>
      </w:pPr>
    </w:p>
    <w:p w14:paraId="590D8A6D" w14:textId="77777777" w:rsidR="00460FE7" w:rsidRPr="00460FE7" w:rsidRDefault="00460FE7" w:rsidP="00460FE7">
      <w:pPr>
        <w:tabs>
          <w:tab w:val="left" w:pos="450"/>
        </w:tabs>
      </w:pPr>
    </w:p>
    <w:p w14:paraId="6D446FC9" w14:textId="38CDD94E" w:rsidR="00007A69" w:rsidRPr="00007A69" w:rsidRDefault="00007A69" w:rsidP="004F5199">
      <w:pPr>
        <w:pStyle w:val="ListParagraph"/>
        <w:numPr>
          <w:ilvl w:val="0"/>
          <w:numId w:val="2"/>
        </w:numPr>
        <w:spacing w:after="0"/>
      </w:pPr>
      <w:r w:rsidRPr="00A67A7C">
        <w:rPr>
          <w:b/>
          <w:bCs/>
        </w:rPr>
        <w:lastRenderedPageBreak/>
        <w:t>Housing Price by Number of Bedrooms (Box Plot):</w:t>
      </w:r>
      <w:r w:rsidRPr="00B16B54">
        <w:t xml:space="preserve"> This shows how housing prices vary based on the number of bedrooms, highlighting median prices and price distributions for each category.</w:t>
      </w:r>
    </w:p>
    <w:p w14:paraId="3FD5D321" w14:textId="03D72380" w:rsidR="00BF5EA9" w:rsidRDefault="00BF5EA9" w:rsidP="00BF5EA9">
      <w:pPr>
        <w:spacing w:after="0"/>
        <w:jc w:val="center"/>
        <w:rPr>
          <w:b/>
          <w:bCs/>
        </w:rPr>
      </w:pPr>
      <w:r>
        <w:rPr>
          <w:noProof/>
        </w:rPr>
        <w:drawing>
          <wp:inline distT="0" distB="0" distL="0" distR="0" wp14:anchorId="6F798F88" wp14:editId="044E1B54">
            <wp:extent cx="5164917" cy="3076575"/>
            <wp:effectExtent l="0" t="0" r="0" b="0"/>
            <wp:docPr id="83890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04819" name=""/>
                    <pic:cNvPicPr/>
                  </pic:nvPicPr>
                  <pic:blipFill>
                    <a:blip r:embed="rId8"/>
                    <a:stretch>
                      <a:fillRect/>
                    </a:stretch>
                  </pic:blipFill>
                  <pic:spPr>
                    <a:xfrm>
                      <a:off x="0" y="0"/>
                      <a:ext cx="5182617" cy="3087118"/>
                    </a:xfrm>
                    <a:prstGeom prst="rect">
                      <a:avLst/>
                    </a:prstGeom>
                  </pic:spPr>
                </pic:pic>
              </a:graphicData>
            </a:graphic>
          </wp:inline>
        </w:drawing>
      </w:r>
    </w:p>
    <w:p w14:paraId="27DEB56D" w14:textId="77777777" w:rsidR="00460FE7" w:rsidRDefault="00460FE7" w:rsidP="00460FE7">
      <w:pPr>
        <w:pStyle w:val="ListParagraph"/>
        <w:numPr>
          <w:ilvl w:val="0"/>
          <w:numId w:val="8"/>
        </w:numPr>
        <w:tabs>
          <w:tab w:val="left" w:pos="450"/>
        </w:tabs>
        <w:ind w:left="720" w:hanging="270"/>
      </w:pPr>
      <w:r w:rsidRPr="008051CC">
        <w:t>Generally, the median housing price (middle line of each box) increases as the number of bedrooms rises from 1 to 5.</w:t>
      </w:r>
    </w:p>
    <w:p w14:paraId="25E2E02E" w14:textId="77777777" w:rsidR="00460FE7" w:rsidRDefault="00460FE7" w:rsidP="00460FE7">
      <w:pPr>
        <w:pStyle w:val="ListParagraph"/>
        <w:numPr>
          <w:ilvl w:val="0"/>
          <w:numId w:val="8"/>
        </w:numPr>
        <w:tabs>
          <w:tab w:val="left" w:pos="450"/>
        </w:tabs>
        <w:ind w:left="720" w:hanging="270"/>
      </w:pPr>
      <w:r w:rsidRPr="008051CC">
        <w:t>Lower bedroom counts (1-3) show numerous high-priced outliers, indicating a segment of premium or luxury smaller properties.</w:t>
      </w:r>
    </w:p>
    <w:p w14:paraId="0BBF066D" w14:textId="77777777" w:rsidR="00460FE7" w:rsidRDefault="00460FE7" w:rsidP="00460FE7">
      <w:pPr>
        <w:pStyle w:val="ListParagraph"/>
        <w:numPr>
          <w:ilvl w:val="0"/>
          <w:numId w:val="8"/>
        </w:numPr>
        <w:tabs>
          <w:tab w:val="left" w:pos="450"/>
        </w:tabs>
        <w:ind w:left="720" w:hanging="270"/>
      </w:pPr>
      <w:r w:rsidRPr="008051CC">
        <w:t>Properties with 4 or 5 bedrooms exhibit a wider range of prices (taller boxes), suggesting more variability in this segment.</w:t>
      </w:r>
    </w:p>
    <w:p w14:paraId="434962CD" w14:textId="5DAB740A" w:rsidR="00587592" w:rsidRPr="00460FE7" w:rsidRDefault="00460FE7" w:rsidP="00460FE7">
      <w:pPr>
        <w:pStyle w:val="ListParagraph"/>
        <w:numPr>
          <w:ilvl w:val="0"/>
          <w:numId w:val="8"/>
        </w:numPr>
        <w:tabs>
          <w:tab w:val="left" w:pos="450"/>
        </w:tabs>
        <w:ind w:left="720" w:hanging="270"/>
      </w:pPr>
      <w:r w:rsidRPr="008051CC">
        <w:t>There are very few properties with 6 or 7 bedrooms, making their price distributions less statistically robust</w:t>
      </w:r>
      <w:r>
        <w:t>.</w:t>
      </w:r>
    </w:p>
    <w:p w14:paraId="547123F7" w14:textId="17DF7B34" w:rsidR="00BF5EA9" w:rsidRPr="004F5199" w:rsidRDefault="004F5199" w:rsidP="004F5199">
      <w:pPr>
        <w:pStyle w:val="ListParagraph"/>
        <w:numPr>
          <w:ilvl w:val="0"/>
          <w:numId w:val="2"/>
        </w:numPr>
        <w:spacing w:after="0"/>
      </w:pPr>
      <w:r w:rsidRPr="00A67A7C">
        <w:rPr>
          <w:b/>
          <w:bCs/>
        </w:rPr>
        <w:t>Top 10 Locations by Average Housing Price (Bar Chart):</w:t>
      </w:r>
      <w:r w:rsidRPr="00B16B54">
        <w:t xml:space="preserve"> This identifies the most expensive areas based on average property prices.</w:t>
      </w:r>
      <w:r w:rsidRPr="00B16B54">
        <w:rPr>
          <w:b/>
          <w:bCs/>
        </w:rPr>
        <w:t xml:space="preserve"> </w:t>
      </w:r>
    </w:p>
    <w:p w14:paraId="734340FA" w14:textId="71603AEC" w:rsidR="004F5199" w:rsidRDefault="00BF5EA9" w:rsidP="00587592">
      <w:pPr>
        <w:spacing w:after="0"/>
        <w:jc w:val="center"/>
        <w:rPr>
          <w:b/>
          <w:bCs/>
        </w:rPr>
      </w:pPr>
      <w:r>
        <w:rPr>
          <w:noProof/>
        </w:rPr>
        <w:drawing>
          <wp:inline distT="0" distB="0" distL="0" distR="0" wp14:anchorId="3DFD64D0" wp14:editId="6161F9F7">
            <wp:extent cx="5453208" cy="3219450"/>
            <wp:effectExtent l="0" t="0" r="0" b="0"/>
            <wp:docPr id="103800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08995" name=""/>
                    <pic:cNvPicPr/>
                  </pic:nvPicPr>
                  <pic:blipFill>
                    <a:blip r:embed="rId9"/>
                    <a:stretch>
                      <a:fillRect/>
                    </a:stretch>
                  </pic:blipFill>
                  <pic:spPr>
                    <a:xfrm>
                      <a:off x="0" y="0"/>
                      <a:ext cx="5478371" cy="3234306"/>
                    </a:xfrm>
                    <a:prstGeom prst="rect">
                      <a:avLst/>
                    </a:prstGeom>
                  </pic:spPr>
                </pic:pic>
              </a:graphicData>
            </a:graphic>
          </wp:inline>
        </w:drawing>
      </w:r>
    </w:p>
    <w:p w14:paraId="4B5EC842" w14:textId="77777777" w:rsidR="00460FE7" w:rsidRDefault="00460FE7" w:rsidP="00460FE7">
      <w:pPr>
        <w:pStyle w:val="ListParagraph"/>
        <w:numPr>
          <w:ilvl w:val="0"/>
          <w:numId w:val="10"/>
        </w:numPr>
        <w:tabs>
          <w:tab w:val="left" w:pos="450"/>
        </w:tabs>
        <w:ind w:left="720" w:hanging="270"/>
      </w:pPr>
      <w:r>
        <w:lastRenderedPageBreak/>
        <w:t>Richmond Town consistently holds the highest average housing price, followed closely by Bannerghatta Road Jigani.</w:t>
      </w:r>
    </w:p>
    <w:p w14:paraId="0E3568D1" w14:textId="77777777" w:rsidR="00460FE7" w:rsidRDefault="00460FE7" w:rsidP="00460FE7">
      <w:pPr>
        <w:pStyle w:val="ListParagraph"/>
        <w:numPr>
          <w:ilvl w:val="0"/>
          <w:numId w:val="10"/>
        </w:numPr>
        <w:tabs>
          <w:tab w:val="left" w:pos="450"/>
        </w:tabs>
        <w:ind w:left="720" w:hanging="270"/>
      </w:pPr>
      <w:r>
        <w:t>There's a clear gradient in average prices among the top 10, with a noticeable drop as one moves down the list from Richmond Town to BTM Layout 2nd Stage.</w:t>
      </w:r>
    </w:p>
    <w:p w14:paraId="3202CF6D" w14:textId="77777777" w:rsidR="00460FE7" w:rsidRDefault="00460FE7" w:rsidP="00460FE7">
      <w:pPr>
        <w:pStyle w:val="ListParagraph"/>
        <w:numPr>
          <w:ilvl w:val="0"/>
          <w:numId w:val="10"/>
        </w:numPr>
        <w:tabs>
          <w:tab w:val="left" w:pos="450"/>
        </w:tabs>
        <w:ind w:left="720" w:hanging="270"/>
      </w:pPr>
      <w:r>
        <w:t>This plot effectively highlights the most premium and high-value residential areas within the Bangalore housing market, based on the average cost of properties.</w:t>
      </w:r>
    </w:p>
    <w:p w14:paraId="576F2F7D" w14:textId="5F708C1C" w:rsidR="00460FE7" w:rsidRPr="00460FE7" w:rsidRDefault="00460FE7" w:rsidP="00460FE7">
      <w:pPr>
        <w:pStyle w:val="ListParagraph"/>
        <w:numPr>
          <w:ilvl w:val="0"/>
          <w:numId w:val="10"/>
        </w:numPr>
        <w:tabs>
          <w:tab w:val="left" w:pos="450"/>
        </w:tabs>
        <w:ind w:left="720" w:hanging="270"/>
      </w:pPr>
      <w:r w:rsidRPr="008760D2">
        <w:t xml:space="preserve">Where a property is located within Bangalore is a primary determinant of its average price, often outweighing other factors </w:t>
      </w:r>
    </w:p>
    <w:p w14:paraId="0E8A1161" w14:textId="641BD75E" w:rsidR="004F5199" w:rsidRPr="004F5199" w:rsidRDefault="004F5199" w:rsidP="004F5199">
      <w:pPr>
        <w:pStyle w:val="ListParagraph"/>
        <w:numPr>
          <w:ilvl w:val="0"/>
          <w:numId w:val="2"/>
        </w:numPr>
      </w:pPr>
      <w:r w:rsidRPr="00A67A7C">
        <w:rPr>
          <w:b/>
          <w:bCs/>
        </w:rPr>
        <w:t>Correlation Heatmap:</w:t>
      </w:r>
      <w:r w:rsidRPr="00B16B54">
        <w:t xml:space="preserve"> Thi</w:t>
      </w:r>
      <w:r>
        <w:t>s s</w:t>
      </w:r>
      <w:r w:rsidRPr="00B16B54">
        <w:t>how</w:t>
      </w:r>
      <w:r>
        <w:t>s</w:t>
      </w:r>
      <w:r w:rsidRPr="00B16B54">
        <w:t xml:space="preserve"> the correlation between numerical features</w:t>
      </w:r>
      <w:r>
        <w:t>.</w:t>
      </w:r>
    </w:p>
    <w:p w14:paraId="559C60FC" w14:textId="6ACFE87D" w:rsidR="00BF5EA9" w:rsidRDefault="00BF5EA9" w:rsidP="00BF5EA9">
      <w:pPr>
        <w:spacing w:after="0"/>
        <w:jc w:val="center"/>
        <w:rPr>
          <w:b/>
          <w:bCs/>
        </w:rPr>
      </w:pPr>
      <w:r>
        <w:rPr>
          <w:noProof/>
        </w:rPr>
        <w:drawing>
          <wp:inline distT="0" distB="0" distL="0" distR="0" wp14:anchorId="4516E591" wp14:editId="4E97F1D7">
            <wp:extent cx="6629400" cy="4095750"/>
            <wp:effectExtent l="0" t="0" r="0" b="0"/>
            <wp:docPr id="139894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1572" name=""/>
                    <pic:cNvPicPr/>
                  </pic:nvPicPr>
                  <pic:blipFill>
                    <a:blip r:embed="rId10"/>
                    <a:stretch>
                      <a:fillRect/>
                    </a:stretch>
                  </pic:blipFill>
                  <pic:spPr>
                    <a:xfrm>
                      <a:off x="0" y="0"/>
                      <a:ext cx="6629400" cy="4095750"/>
                    </a:xfrm>
                    <a:prstGeom prst="rect">
                      <a:avLst/>
                    </a:prstGeom>
                  </pic:spPr>
                </pic:pic>
              </a:graphicData>
            </a:graphic>
          </wp:inline>
        </w:drawing>
      </w:r>
    </w:p>
    <w:p w14:paraId="3C6E7A17" w14:textId="77777777" w:rsidR="00460FE7" w:rsidRDefault="00460FE7" w:rsidP="00460FE7">
      <w:pPr>
        <w:pStyle w:val="ListParagraph"/>
        <w:numPr>
          <w:ilvl w:val="0"/>
          <w:numId w:val="9"/>
        </w:numPr>
        <w:tabs>
          <w:tab w:val="left" w:pos="450"/>
        </w:tabs>
        <w:ind w:left="720" w:hanging="270"/>
      </w:pPr>
      <w:r w:rsidRPr="008760D2">
        <w:t xml:space="preserve">There is a </w:t>
      </w:r>
      <w:r w:rsidRPr="008760D2">
        <w:rPr>
          <w:b/>
          <w:bCs/>
        </w:rPr>
        <w:t>moderate positive correlation</w:t>
      </w:r>
      <w:r w:rsidRPr="008760D2">
        <w:t xml:space="preserve"> between Price and Area</w:t>
      </w:r>
      <w:r>
        <w:t>, suggesting that price rises with increase in area, but other factors also influence.</w:t>
      </w:r>
    </w:p>
    <w:p w14:paraId="754E9CFE" w14:textId="77777777" w:rsidR="00460FE7" w:rsidRDefault="00460FE7" w:rsidP="00460FE7">
      <w:pPr>
        <w:pStyle w:val="ListParagraph"/>
        <w:numPr>
          <w:ilvl w:val="0"/>
          <w:numId w:val="9"/>
        </w:numPr>
        <w:tabs>
          <w:tab w:val="left" w:pos="450"/>
        </w:tabs>
        <w:ind w:left="720" w:hanging="270"/>
      </w:pPr>
      <w:r w:rsidRPr="008760D2">
        <w:t xml:space="preserve">There is a </w:t>
      </w:r>
      <w:r w:rsidRPr="008760D2">
        <w:rPr>
          <w:b/>
          <w:bCs/>
        </w:rPr>
        <w:t>weak positive correlation</w:t>
      </w:r>
      <w:r w:rsidRPr="008760D2">
        <w:t xml:space="preserve"> between Price and No. of Bedrooms</w:t>
      </w:r>
      <w:r>
        <w:t xml:space="preserve">, </w:t>
      </w:r>
      <w:r w:rsidRPr="008760D2">
        <w:t>this might be because 'No. of Bedrooms' often correlates strongly with 'Area' itself.</w:t>
      </w:r>
    </w:p>
    <w:p w14:paraId="63E9B7E7" w14:textId="77777777" w:rsidR="00460FE7" w:rsidRDefault="00460FE7" w:rsidP="00460FE7">
      <w:pPr>
        <w:pStyle w:val="ListParagraph"/>
        <w:numPr>
          <w:ilvl w:val="0"/>
          <w:numId w:val="9"/>
        </w:numPr>
        <w:tabs>
          <w:tab w:val="left" w:pos="450"/>
        </w:tabs>
        <w:ind w:left="720" w:hanging="270"/>
      </w:pPr>
      <w:r w:rsidRPr="008760D2">
        <w:t xml:space="preserve">There is a </w:t>
      </w:r>
      <w:r w:rsidRPr="008760D2">
        <w:rPr>
          <w:b/>
          <w:bCs/>
        </w:rPr>
        <w:t>strong positive correlation</w:t>
      </w:r>
      <w:r w:rsidRPr="008760D2">
        <w:t xml:space="preserve"> between Area and No. of Bedrooms</w:t>
      </w:r>
      <w:r>
        <w:t xml:space="preserve">, and this is expected. </w:t>
      </w:r>
    </w:p>
    <w:p w14:paraId="18410E09" w14:textId="77777777" w:rsidR="00460FE7" w:rsidRDefault="00460FE7" w:rsidP="00460FE7">
      <w:pPr>
        <w:pStyle w:val="ListParagraph"/>
        <w:numPr>
          <w:ilvl w:val="0"/>
          <w:numId w:val="9"/>
        </w:numPr>
        <w:tabs>
          <w:tab w:val="left" w:pos="450"/>
        </w:tabs>
        <w:ind w:left="720" w:hanging="270"/>
      </w:pPr>
      <w:r w:rsidRPr="008760D2">
        <w:t xml:space="preserve">There is a </w:t>
      </w:r>
      <w:r w:rsidRPr="008760D2">
        <w:rPr>
          <w:b/>
          <w:bCs/>
        </w:rPr>
        <w:t>very weak negative correlation</w:t>
      </w:r>
      <w:r w:rsidRPr="008760D2">
        <w:t xml:space="preserve"> between Price and Resale</w:t>
      </w:r>
      <w:r>
        <w:t>, suggesting no linear impact of the Resale status on price.</w:t>
      </w:r>
    </w:p>
    <w:p w14:paraId="12C41F14" w14:textId="77777777" w:rsidR="00460FE7" w:rsidRDefault="00460FE7" w:rsidP="00460FE7">
      <w:pPr>
        <w:pStyle w:val="ListParagraph"/>
        <w:numPr>
          <w:ilvl w:val="0"/>
          <w:numId w:val="9"/>
        </w:numPr>
        <w:tabs>
          <w:tab w:val="left" w:pos="450"/>
        </w:tabs>
        <w:ind w:left="720" w:hanging="270"/>
      </w:pPr>
      <w:r w:rsidRPr="008760D2">
        <w:t>All these amenities show very low correlations with Price</w:t>
      </w:r>
      <w:r>
        <w:t>. Amenities chosen here belong to environment friendliness (</w:t>
      </w:r>
      <w:r w:rsidRPr="00714333">
        <w:t>Landscaped</w:t>
      </w:r>
      <w:r>
        <w:t xml:space="preserve"> </w:t>
      </w:r>
      <w:r w:rsidRPr="00714333">
        <w:t>Gardens, Rain</w:t>
      </w:r>
      <w:r>
        <w:t xml:space="preserve"> </w:t>
      </w:r>
      <w:r w:rsidRPr="00714333">
        <w:t>Wate</w:t>
      </w:r>
      <w:r>
        <w:t xml:space="preserve">r </w:t>
      </w:r>
      <w:r w:rsidRPr="00714333">
        <w:t>Harvesting</w:t>
      </w:r>
      <w:r>
        <w:t>), necessities (like hospital), and activities promoting health and recreation (Children’s play area, Sports Facility). None of these being substantially correlated may imply either lack of awareness regarding the requirements of these or t</w:t>
      </w:r>
      <w:r w:rsidRPr="00714333">
        <w:t>hey are standard features in most properties, so they don't differentiate price much.</w:t>
      </w:r>
    </w:p>
    <w:p w14:paraId="776F36D4" w14:textId="064F088E" w:rsidR="00460FE7" w:rsidRPr="00460FE7" w:rsidRDefault="00460FE7" w:rsidP="00460FE7">
      <w:pPr>
        <w:pStyle w:val="ListParagraph"/>
        <w:tabs>
          <w:tab w:val="left" w:pos="450"/>
        </w:tabs>
      </w:pPr>
      <w:r>
        <w:t>Also, their impact on price may be non-linear and hence remained uncaptured.</w:t>
      </w:r>
    </w:p>
    <w:p w14:paraId="058D8C42" w14:textId="4C803704" w:rsidR="004F5199" w:rsidRPr="004F5199" w:rsidRDefault="004F5199" w:rsidP="004F5199">
      <w:pPr>
        <w:pStyle w:val="ListParagraph"/>
        <w:numPr>
          <w:ilvl w:val="0"/>
          <w:numId w:val="2"/>
        </w:numPr>
        <w:tabs>
          <w:tab w:val="left" w:pos="90"/>
        </w:tabs>
        <w:spacing w:after="0"/>
      </w:pPr>
      <w:r w:rsidRPr="00A67A7C">
        <w:rPr>
          <w:b/>
          <w:bCs/>
        </w:rPr>
        <w:lastRenderedPageBreak/>
        <w:t>Average Price per Square Foot by Location</w:t>
      </w:r>
      <w:r>
        <w:t>:</w:t>
      </w:r>
      <w:r w:rsidRPr="00A67A7C">
        <w:t xml:space="preserve"> This plot helps normalize prices by the size of the property, giving a better understanding of the value obtained for money in different areas, rather than just the absolute price which can be heavily influenced by property size.</w:t>
      </w:r>
    </w:p>
    <w:p w14:paraId="45335458" w14:textId="6E59A044" w:rsidR="00BF5EA9" w:rsidRDefault="00BF5EA9" w:rsidP="00BF5EA9">
      <w:pPr>
        <w:spacing w:after="0"/>
        <w:jc w:val="center"/>
        <w:rPr>
          <w:b/>
          <w:bCs/>
        </w:rPr>
      </w:pPr>
      <w:r>
        <w:rPr>
          <w:noProof/>
        </w:rPr>
        <w:drawing>
          <wp:inline distT="0" distB="0" distL="0" distR="0" wp14:anchorId="7F663A20" wp14:editId="09645D5E">
            <wp:extent cx="6629400" cy="3333750"/>
            <wp:effectExtent l="0" t="0" r="0" b="0"/>
            <wp:docPr id="10693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9136" name=""/>
                    <pic:cNvPicPr/>
                  </pic:nvPicPr>
                  <pic:blipFill>
                    <a:blip r:embed="rId11"/>
                    <a:stretch>
                      <a:fillRect/>
                    </a:stretch>
                  </pic:blipFill>
                  <pic:spPr>
                    <a:xfrm>
                      <a:off x="0" y="0"/>
                      <a:ext cx="6629400" cy="3333750"/>
                    </a:xfrm>
                    <a:prstGeom prst="rect">
                      <a:avLst/>
                    </a:prstGeom>
                  </pic:spPr>
                </pic:pic>
              </a:graphicData>
            </a:graphic>
          </wp:inline>
        </w:drawing>
      </w:r>
    </w:p>
    <w:p w14:paraId="0E2DBED6" w14:textId="77777777" w:rsidR="00460FE7" w:rsidRDefault="00460FE7" w:rsidP="00460FE7">
      <w:pPr>
        <w:pStyle w:val="ListParagraph"/>
        <w:numPr>
          <w:ilvl w:val="0"/>
          <w:numId w:val="14"/>
        </w:numPr>
        <w:tabs>
          <w:tab w:val="left" w:pos="450"/>
        </w:tabs>
        <w:ind w:left="810"/>
      </w:pPr>
      <w:r w:rsidRPr="00587592">
        <w:t>Bannerghatta Road Jigani and Kalkere have the highest average price per square foot, making land and property in these areas most expensive per unit.</w:t>
      </w:r>
    </w:p>
    <w:p w14:paraId="10F0484A" w14:textId="1D80312F" w:rsidR="00575CC2" w:rsidRDefault="00460FE7" w:rsidP="00575CC2">
      <w:pPr>
        <w:pStyle w:val="ListParagraph"/>
        <w:numPr>
          <w:ilvl w:val="0"/>
          <w:numId w:val="11"/>
        </w:numPr>
        <w:tabs>
          <w:tab w:val="left" w:pos="450"/>
        </w:tabs>
        <w:ind w:left="720" w:hanging="270"/>
      </w:pPr>
      <w:r w:rsidRPr="00491779">
        <w:t xml:space="preserve">Richmond Town, which was the most expensive location by </w:t>
      </w:r>
      <w:r w:rsidRPr="00491779">
        <w:rPr>
          <w:i/>
          <w:iCs/>
        </w:rPr>
        <w:t>average total price</w:t>
      </w:r>
      <w:r w:rsidRPr="00491779">
        <w:t xml:space="preserve">, appears at the </w:t>
      </w:r>
      <w:r w:rsidRPr="00491779">
        <w:rPr>
          <w:i/>
          <w:iCs/>
        </w:rPr>
        <w:t>bottom</w:t>
      </w:r>
      <w:r w:rsidRPr="00491779">
        <w:t xml:space="preserve"> of this list for average price per square foot. This suggests that while properties in Richmond Town are expensive, they might also be significantly larger on average, thus bringing down their per-square-foot cost relative to other areas.</w:t>
      </w:r>
    </w:p>
    <w:p w14:paraId="40380526" w14:textId="77777777" w:rsidR="00575CC2" w:rsidRDefault="00575CC2" w:rsidP="00491779">
      <w:pPr>
        <w:pStyle w:val="ListParagraph"/>
        <w:tabs>
          <w:tab w:val="left" w:pos="450"/>
          <w:tab w:val="left" w:pos="540"/>
        </w:tabs>
        <w:spacing w:before="240"/>
        <w:ind w:left="450" w:hanging="360"/>
        <w:rPr>
          <w:rFonts w:ascii="Segoe UI Emoji" w:hAnsi="Segoe UI Emoji" w:cs="Segoe UI Emoji"/>
          <w:b/>
          <w:bCs/>
        </w:rPr>
      </w:pPr>
    </w:p>
    <w:p w14:paraId="0B10A52A" w14:textId="59EBA579" w:rsidR="00491779" w:rsidRPr="00491779" w:rsidRDefault="00491779" w:rsidP="00491779">
      <w:pPr>
        <w:pStyle w:val="ListParagraph"/>
        <w:tabs>
          <w:tab w:val="left" w:pos="450"/>
          <w:tab w:val="left" w:pos="540"/>
        </w:tabs>
        <w:spacing w:before="240"/>
        <w:ind w:left="450" w:hanging="360"/>
        <w:rPr>
          <w:b/>
          <w:bCs/>
        </w:rPr>
      </w:pPr>
      <w:r w:rsidRPr="00491779">
        <w:rPr>
          <w:rFonts w:ascii="Segoe UI Emoji" w:hAnsi="Segoe UI Emoji" w:cs="Segoe UI Emoji"/>
          <w:b/>
          <w:bCs/>
        </w:rPr>
        <w:t>💡</w:t>
      </w:r>
      <w:r>
        <w:rPr>
          <w:b/>
          <w:bCs/>
        </w:rPr>
        <w:t xml:space="preserve"> </w:t>
      </w:r>
      <w:r w:rsidRPr="00491779">
        <w:rPr>
          <w:b/>
          <w:bCs/>
        </w:rPr>
        <w:t>Actionable Insights for Decision-Making</w:t>
      </w:r>
      <w:r>
        <w:rPr>
          <w:b/>
          <w:bCs/>
        </w:rPr>
        <w:t xml:space="preserve">: </w:t>
      </w:r>
    </w:p>
    <w:p w14:paraId="59A859D1" w14:textId="05E4BA97" w:rsidR="00491779" w:rsidRDefault="00491779" w:rsidP="00491779">
      <w:pPr>
        <w:pStyle w:val="ListParagraph"/>
        <w:numPr>
          <w:ilvl w:val="0"/>
          <w:numId w:val="13"/>
        </w:numPr>
        <w:tabs>
          <w:tab w:val="left" w:pos="450"/>
          <w:tab w:val="left" w:pos="540"/>
        </w:tabs>
        <w:spacing w:before="240"/>
      </w:pPr>
      <w:r w:rsidRPr="00491779">
        <w:t>Buyers should focus on properties where the "Price per Sq Ft" is lower for the desired area, especially in emerging or slightly less central locations.</w:t>
      </w:r>
    </w:p>
    <w:p w14:paraId="78FEA02B" w14:textId="3D35782D" w:rsidR="00491779" w:rsidRDefault="00AE6649" w:rsidP="00491779">
      <w:pPr>
        <w:pStyle w:val="ListParagraph"/>
        <w:numPr>
          <w:ilvl w:val="0"/>
          <w:numId w:val="13"/>
        </w:numPr>
        <w:tabs>
          <w:tab w:val="left" w:pos="450"/>
          <w:tab w:val="left" w:pos="540"/>
        </w:tabs>
        <w:spacing w:before="240"/>
      </w:pPr>
      <w:r>
        <w:t>More e</w:t>
      </w:r>
      <w:r w:rsidRPr="00AE6649">
        <w:t>mphasi</w:t>
      </w:r>
      <w:r>
        <w:t>s should be given to</w:t>
      </w:r>
      <w:r w:rsidRPr="00AE6649">
        <w:t xml:space="preserve"> the total area of your property, as it's a primary price driver.</w:t>
      </w:r>
      <w:r>
        <w:t xml:space="preserve"> Amenities are good to attract buyers, but </w:t>
      </w:r>
      <w:r w:rsidRPr="00AE6649">
        <w:t>their direct impact on the sale price might be limited</w:t>
      </w:r>
      <w:r>
        <w:t>.</w:t>
      </w:r>
    </w:p>
    <w:p w14:paraId="6C243E49" w14:textId="1F79EAB2" w:rsidR="00AE6649" w:rsidRDefault="00AE6649" w:rsidP="00491779">
      <w:pPr>
        <w:pStyle w:val="ListParagraph"/>
        <w:numPr>
          <w:ilvl w:val="0"/>
          <w:numId w:val="13"/>
        </w:numPr>
        <w:tabs>
          <w:tab w:val="left" w:pos="450"/>
          <w:tab w:val="left" w:pos="540"/>
        </w:tabs>
        <w:spacing w:before="240"/>
      </w:pPr>
      <w:r>
        <w:t>W</w:t>
      </w:r>
      <w:r w:rsidRPr="00AE6649">
        <w:t>ell-designed, mid-sized</w:t>
      </w:r>
      <w:r>
        <w:t xml:space="preserve"> </w:t>
      </w:r>
      <w:r w:rsidRPr="00AE6649">
        <w:t xml:space="preserve">affordable properties </w:t>
      </w:r>
      <w:r>
        <w:t>have high demand probably due to many jobseekers migrating there. This market could be targeted.</w:t>
      </w:r>
    </w:p>
    <w:p w14:paraId="650EC742" w14:textId="6E0260F0" w:rsidR="00AE6649" w:rsidRPr="00587592" w:rsidRDefault="00AE6649" w:rsidP="00AE6649">
      <w:pPr>
        <w:pStyle w:val="ListParagraph"/>
        <w:numPr>
          <w:ilvl w:val="0"/>
          <w:numId w:val="13"/>
        </w:numPr>
        <w:tabs>
          <w:tab w:val="left" w:pos="450"/>
          <w:tab w:val="left" w:pos="540"/>
        </w:tabs>
        <w:spacing w:before="240"/>
      </w:pPr>
      <w:r>
        <w:t>L</w:t>
      </w:r>
      <w:r w:rsidRPr="00AE6649">
        <w:t xml:space="preserve">and in locations with high "Average Price per Sq Ft" </w:t>
      </w:r>
      <w:r>
        <w:t xml:space="preserve">should be prioritized </w:t>
      </w:r>
      <w:r w:rsidRPr="00AE6649">
        <w:t>for maximum return on investment, even for smaller units.</w:t>
      </w:r>
    </w:p>
    <w:p w14:paraId="6693CDAF" w14:textId="77777777" w:rsidR="00575CC2" w:rsidRDefault="00575CC2" w:rsidP="00BF2E38">
      <w:pPr>
        <w:tabs>
          <w:tab w:val="left" w:pos="450"/>
        </w:tabs>
        <w:rPr>
          <w:b/>
          <w:bCs/>
        </w:rPr>
      </w:pPr>
    </w:p>
    <w:p w14:paraId="63AA6BF7" w14:textId="77777777" w:rsidR="00575CC2" w:rsidRDefault="00575CC2" w:rsidP="00BF2E38">
      <w:pPr>
        <w:tabs>
          <w:tab w:val="left" w:pos="450"/>
        </w:tabs>
        <w:rPr>
          <w:b/>
          <w:bCs/>
        </w:rPr>
      </w:pPr>
    </w:p>
    <w:p w14:paraId="4F168272" w14:textId="77777777" w:rsidR="00575CC2" w:rsidRDefault="00575CC2" w:rsidP="00BF2E38">
      <w:pPr>
        <w:tabs>
          <w:tab w:val="left" w:pos="450"/>
        </w:tabs>
        <w:rPr>
          <w:b/>
          <w:bCs/>
        </w:rPr>
      </w:pPr>
    </w:p>
    <w:p w14:paraId="1AAEF8F2" w14:textId="77777777" w:rsidR="00575CC2" w:rsidRDefault="00575CC2" w:rsidP="00BF2E38">
      <w:pPr>
        <w:tabs>
          <w:tab w:val="left" w:pos="450"/>
        </w:tabs>
        <w:rPr>
          <w:b/>
          <w:bCs/>
        </w:rPr>
      </w:pPr>
    </w:p>
    <w:p w14:paraId="0D419EC2" w14:textId="2D97268F" w:rsidR="009D5135" w:rsidRPr="00BF2E38" w:rsidRDefault="009D5135" w:rsidP="00BF2E38">
      <w:pPr>
        <w:tabs>
          <w:tab w:val="left" w:pos="450"/>
        </w:tabs>
      </w:pPr>
      <w:r w:rsidRPr="00BF2E38">
        <w:rPr>
          <w:b/>
          <w:bCs/>
        </w:rPr>
        <w:lastRenderedPageBreak/>
        <w:t xml:space="preserve">Step </w:t>
      </w:r>
      <w:r w:rsidR="00652AB1" w:rsidRPr="00BF2E38">
        <w:rPr>
          <w:b/>
          <w:bCs/>
        </w:rPr>
        <w:t>3</w:t>
      </w:r>
      <w:r w:rsidRPr="00BF2E38">
        <w:rPr>
          <w:b/>
          <w:bCs/>
        </w:rPr>
        <w:t xml:space="preserve">: Build a strong portfolio with impactful and well-designed visualizations. </w:t>
      </w:r>
    </w:p>
    <w:p w14:paraId="7F966552" w14:textId="24426DDD" w:rsidR="000E262B" w:rsidRDefault="00612239" w:rsidP="006A2D4F">
      <w:pPr>
        <w:tabs>
          <w:tab w:val="left" w:pos="90"/>
        </w:tabs>
      </w:pPr>
      <w:hyperlink r:id="rId12" w:history="1">
        <w:r w:rsidRPr="002D2D0C">
          <w:rPr>
            <w:rStyle w:val="Hyperlink"/>
          </w:rPr>
          <w:t>http://localhost:8888/lab/tree/compiled_housing_dashboard.png</w:t>
        </w:r>
      </w:hyperlink>
    </w:p>
    <w:p w14:paraId="016CDA33" w14:textId="400AE705" w:rsidR="00612239" w:rsidRDefault="00612239" w:rsidP="006A2D4F">
      <w:pPr>
        <w:tabs>
          <w:tab w:val="left" w:pos="90"/>
        </w:tabs>
      </w:pPr>
      <w:r>
        <w:rPr>
          <w:noProof/>
        </w:rPr>
        <w:drawing>
          <wp:inline distT="0" distB="0" distL="0" distR="0" wp14:anchorId="7D4D7464" wp14:editId="1F772EC5">
            <wp:extent cx="6581775" cy="4895850"/>
            <wp:effectExtent l="0" t="0" r="9525" b="0"/>
            <wp:docPr id="737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301" name=""/>
                    <pic:cNvPicPr/>
                  </pic:nvPicPr>
                  <pic:blipFill>
                    <a:blip r:embed="rId13"/>
                    <a:stretch>
                      <a:fillRect/>
                    </a:stretch>
                  </pic:blipFill>
                  <pic:spPr>
                    <a:xfrm>
                      <a:off x="0" y="0"/>
                      <a:ext cx="6581775" cy="4895850"/>
                    </a:xfrm>
                    <a:prstGeom prst="rect">
                      <a:avLst/>
                    </a:prstGeom>
                  </pic:spPr>
                </pic:pic>
              </a:graphicData>
            </a:graphic>
          </wp:inline>
        </w:drawing>
      </w:r>
    </w:p>
    <w:sectPr w:rsidR="00612239" w:rsidSect="00460FE7">
      <w:pgSz w:w="12240" w:h="15840"/>
      <w:pgMar w:top="810" w:right="810" w:bottom="900" w:left="81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B072"/>
      </v:shape>
    </w:pict>
  </w:numPicBullet>
  <w:abstractNum w:abstractNumId="0" w15:restartNumberingAfterBreak="0">
    <w:nsid w:val="13542FFE"/>
    <w:multiLevelType w:val="hybridMultilevel"/>
    <w:tmpl w:val="BC4426DC"/>
    <w:lvl w:ilvl="0" w:tplc="ADA64294">
      <w:start w:val="1"/>
      <w:numFmt w:val="bullet"/>
      <w:lvlText w:val=""/>
      <w:lvlJc w:val="left"/>
      <w:pPr>
        <w:ind w:left="810" w:hanging="360"/>
      </w:pPr>
      <w:rPr>
        <w:rFonts w:ascii="Wingdings" w:hAnsi="Wingdings"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67124A0"/>
    <w:multiLevelType w:val="hybridMultilevel"/>
    <w:tmpl w:val="AC5E13D8"/>
    <w:lvl w:ilvl="0" w:tplc="FAC86A04">
      <w:numFmt w:val="bullet"/>
      <w:lvlText w:val=""/>
      <w:lvlJc w:val="left"/>
      <w:pPr>
        <w:ind w:left="810" w:hanging="360"/>
      </w:pPr>
      <w:rPr>
        <w:rFonts w:ascii="Wingdings" w:eastAsiaTheme="minorHAnsi" w:hAnsi="Wingdings"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E0C7338"/>
    <w:multiLevelType w:val="hybridMultilevel"/>
    <w:tmpl w:val="14D0ED14"/>
    <w:lvl w:ilvl="0" w:tplc="C2D26560">
      <w:start w:val="1"/>
      <w:numFmt w:val="bullet"/>
      <w:lvlText w:val=""/>
      <w:lvlJc w:val="left"/>
      <w:pPr>
        <w:ind w:left="1170" w:hanging="360"/>
      </w:pPr>
      <w:rPr>
        <w:rFonts w:ascii="Wingdings" w:hAnsi="Wingdings" w:hint="default"/>
        <w:b/>
        <w:bCs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7CA01EC"/>
    <w:multiLevelType w:val="hybridMultilevel"/>
    <w:tmpl w:val="F0F0D5C4"/>
    <w:lvl w:ilvl="0" w:tplc="ADA64294">
      <w:start w:val="1"/>
      <w:numFmt w:val="bullet"/>
      <w:lvlText w:val=""/>
      <w:lvlJc w:val="left"/>
      <w:pPr>
        <w:ind w:left="1170" w:hanging="360"/>
      </w:pPr>
      <w:rPr>
        <w:rFonts w:ascii="Wingdings" w:hAnsi="Wingdings" w:hint="default"/>
        <w:b/>
        <w:bC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83D0375"/>
    <w:multiLevelType w:val="hybridMultilevel"/>
    <w:tmpl w:val="BCB4E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927D7"/>
    <w:multiLevelType w:val="multilevel"/>
    <w:tmpl w:val="5624301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 w15:restartNumberingAfterBreak="0">
    <w:nsid w:val="542E2CA2"/>
    <w:multiLevelType w:val="hybridMultilevel"/>
    <w:tmpl w:val="1B3AD31C"/>
    <w:lvl w:ilvl="0" w:tplc="ADA64294">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3A3EA3"/>
    <w:multiLevelType w:val="hybridMultilevel"/>
    <w:tmpl w:val="39F84B7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B5763C4"/>
    <w:multiLevelType w:val="hybridMultilevel"/>
    <w:tmpl w:val="421239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F020B"/>
    <w:multiLevelType w:val="hybridMultilevel"/>
    <w:tmpl w:val="5F80498C"/>
    <w:lvl w:ilvl="0" w:tplc="ADA64294">
      <w:start w:val="1"/>
      <w:numFmt w:val="bullet"/>
      <w:lvlText w:val=""/>
      <w:lvlJc w:val="left"/>
      <w:pPr>
        <w:ind w:left="810" w:hanging="360"/>
      </w:pPr>
      <w:rPr>
        <w:rFonts w:ascii="Wingdings" w:hAnsi="Wingdings"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FB01B29"/>
    <w:multiLevelType w:val="hybridMultilevel"/>
    <w:tmpl w:val="D8C47052"/>
    <w:lvl w:ilvl="0" w:tplc="9022D2E2">
      <w:start w:val="1"/>
      <w:numFmt w:val="bullet"/>
      <w:lvlText w:val=""/>
      <w:lvlJc w:val="left"/>
      <w:pPr>
        <w:ind w:left="1170" w:hanging="360"/>
      </w:pPr>
      <w:rPr>
        <w:rFonts w:ascii="Wingdings" w:hAnsi="Wingdings" w:hint="default"/>
        <w:b/>
        <w:bC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427671D"/>
    <w:multiLevelType w:val="hybridMultilevel"/>
    <w:tmpl w:val="951251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647AA"/>
    <w:multiLevelType w:val="hybridMultilevel"/>
    <w:tmpl w:val="158AC5AE"/>
    <w:lvl w:ilvl="0" w:tplc="ADA64294">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B8524A"/>
    <w:multiLevelType w:val="hybridMultilevel"/>
    <w:tmpl w:val="E9ECBE30"/>
    <w:lvl w:ilvl="0" w:tplc="ADA64294">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5284999">
    <w:abstractNumId w:val="5"/>
  </w:num>
  <w:num w:numId="2" w16cid:durableId="1838424358">
    <w:abstractNumId w:val="7"/>
  </w:num>
  <w:num w:numId="3" w16cid:durableId="389158067">
    <w:abstractNumId w:val="8"/>
  </w:num>
  <w:num w:numId="4" w16cid:durableId="1893076099">
    <w:abstractNumId w:val="2"/>
  </w:num>
  <w:num w:numId="5" w16cid:durableId="120616483">
    <w:abstractNumId w:val="11"/>
  </w:num>
  <w:num w:numId="6" w16cid:durableId="1346857723">
    <w:abstractNumId w:val="1"/>
  </w:num>
  <w:num w:numId="7" w16cid:durableId="1813448883">
    <w:abstractNumId w:val="13"/>
  </w:num>
  <w:num w:numId="8" w16cid:durableId="286089837">
    <w:abstractNumId w:val="3"/>
  </w:num>
  <w:num w:numId="9" w16cid:durableId="1853108012">
    <w:abstractNumId w:val="12"/>
  </w:num>
  <w:num w:numId="10" w16cid:durableId="1689065975">
    <w:abstractNumId w:val="6"/>
  </w:num>
  <w:num w:numId="11" w16cid:durableId="75904640">
    <w:abstractNumId w:val="0"/>
  </w:num>
  <w:num w:numId="12" w16cid:durableId="1832602837">
    <w:abstractNumId w:val="4"/>
  </w:num>
  <w:num w:numId="13" w16cid:durableId="808942388">
    <w:abstractNumId w:val="9"/>
  </w:num>
  <w:num w:numId="14" w16cid:durableId="1663460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4F"/>
    <w:rsid w:val="00007A69"/>
    <w:rsid w:val="00062CD1"/>
    <w:rsid w:val="000E262B"/>
    <w:rsid w:val="00255DEF"/>
    <w:rsid w:val="004227E2"/>
    <w:rsid w:val="004534EB"/>
    <w:rsid w:val="00460FE7"/>
    <w:rsid w:val="00491779"/>
    <w:rsid w:val="004F5199"/>
    <w:rsid w:val="00575CC2"/>
    <w:rsid w:val="00587592"/>
    <w:rsid w:val="00612239"/>
    <w:rsid w:val="00652AB1"/>
    <w:rsid w:val="006A1DEC"/>
    <w:rsid w:val="006A2D4F"/>
    <w:rsid w:val="00714333"/>
    <w:rsid w:val="00725378"/>
    <w:rsid w:val="007D0679"/>
    <w:rsid w:val="008051CC"/>
    <w:rsid w:val="008760D2"/>
    <w:rsid w:val="008A2C33"/>
    <w:rsid w:val="00931269"/>
    <w:rsid w:val="009D5135"/>
    <w:rsid w:val="00A0283B"/>
    <w:rsid w:val="00A67A7C"/>
    <w:rsid w:val="00AD108B"/>
    <w:rsid w:val="00AE6649"/>
    <w:rsid w:val="00B16B54"/>
    <w:rsid w:val="00BD5BB2"/>
    <w:rsid w:val="00BF2E38"/>
    <w:rsid w:val="00BF5EA9"/>
    <w:rsid w:val="00CC7DE5"/>
    <w:rsid w:val="00D23155"/>
    <w:rsid w:val="00E63A5F"/>
    <w:rsid w:val="00EC388B"/>
    <w:rsid w:val="00F10DEE"/>
    <w:rsid w:val="00FB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E280"/>
  <w15:chartTrackingRefBased/>
  <w15:docId w15:val="{189C7E18-97E5-4BDD-965E-3D48B509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4F"/>
  </w:style>
  <w:style w:type="paragraph" w:styleId="Heading1">
    <w:name w:val="heading 1"/>
    <w:basedOn w:val="Normal"/>
    <w:next w:val="Normal"/>
    <w:link w:val="Heading1Char"/>
    <w:uiPriority w:val="9"/>
    <w:qFormat/>
    <w:rsid w:val="006A2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A2D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2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4F"/>
    <w:rPr>
      <w:rFonts w:eastAsiaTheme="majorEastAsia" w:cstheme="majorBidi"/>
      <w:color w:val="272727" w:themeColor="text1" w:themeTint="D8"/>
    </w:rPr>
  </w:style>
  <w:style w:type="paragraph" w:styleId="Title">
    <w:name w:val="Title"/>
    <w:basedOn w:val="Normal"/>
    <w:next w:val="Normal"/>
    <w:link w:val="TitleChar"/>
    <w:uiPriority w:val="10"/>
    <w:qFormat/>
    <w:rsid w:val="006A2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4F"/>
    <w:pPr>
      <w:spacing w:before="160"/>
      <w:jc w:val="center"/>
    </w:pPr>
    <w:rPr>
      <w:i/>
      <w:iCs/>
      <w:color w:val="404040" w:themeColor="text1" w:themeTint="BF"/>
    </w:rPr>
  </w:style>
  <w:style w:type="character" w:customStyle="1" w:styleId="QuoteChar">
    <w:name w:val="Quote Char"/>
    <w:basedOn w:val="DefaultParagraphFont"/>
    <w:link w:val="Quote"/>
    <w:uiPriority w:val="29"/>
    <w:rsid w:val="006A2D4F"/>
    <w:rPr>
      <w:i/>
      <w:iCs/>
      <w:color w:val="404040" w:themeColor="text1" w:themeTint="BF"/>
    </w:rPr>
  </w:style>
  <w:style w:type="paragraph" w:styleId="ListParagraph">
    <w:name w:val="List Paragraph"/>
    <w:basedOn w:val="Normal"/>
    <w:uiPriority w:val="34"/>
    <w:qFormat/>
    <w:rsid w:val="006A2D4F"/>
    <w:pPr>
      <w:ind w:left="720"/>
      <w:contextualSpacing/>
    </w:pPr>
  </w:style>
  <w:style w:type="character" w:styleId="IntenseEmphasis">
    <w:name w:val="Intense Emphasis"/>
    <w:basedOn w:val="DefaultParagraphFont"/>
    <w:uiPriority w:val="21"/>
    <w:qFormat/>
    <w:rsid w:val="006A2D4F"/>
    <w:rPr>
      <w:i/>
      <w:iCs/>
      <w:color w:val="2F5496" w:themeColor="accent1" w:themeShade="BF"/>
    </w:rPr>
  </w:style>
  <w:style w:type="paragraph" w:styleId="IntenseQuote">
    <w:name w:val="Intense Quote"/>
    <w:basedOn w:val="Normal"/>
    <w:next w:val="Normal"/>
    <w:link w:val="IntenseQuoteChar"/>
    <w:uiPriority w:val="30"/>
    <w:qFormat/>
    <w:rsid w:val="006A2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4F"/>
    <w:rPr>
      <w:i/>
      <w:iCs/>
      <w:color w:val="2F5496" w:themeColor="accent1" w:themeShade="BF"/>
    </w:rPr>
  </w:style>
  <w:style w:type="character" w:styleId="IntenseReference">
    <w:name w:val="Intense Reference"/>
    <w:basedOn w:val="DefaultParagraphFont"/>
    <w:uiPriority w:val="32"/>
    <w:qFormat/>
    <w:rsid w:val="006A2D4F"/>
    <w:rPr>
      <w:b/>
      <w:bCs/>
      <w:smallCaps/>
      <w:color w:val="2F5496" w:themeColor="accent1" w:themeShade="BF"/>
      <w:spacing w:val="5"/>
    </w:rPr>
  </w:style>
  <w:style w:type="character" w:styleId="Hyperlink">
    <w:name w:val="Hyperlink"/>
    <w:basedOn w:val="DefaultParagraphFont"/>
    <w:uiPriority w:val="99"/>
    <w:unhideWhenUsed/>
    <w:rsid w:val="006A2D4F"/>
    <w:rPr>
      <w:color w:val="0563C1" w:themeColor="hyperlink"/>
      <w:u w:val="single"/>
    </w:rPr>
  </w:style>
  <w:style w:type="character" w:styleId="UnresolvedMention">
    <w:name w:val="Unresolved Mention"/>
    <w:basedOn w:val="DefaultParagraphFont"/>
    <w:uiPriority w:val="99"/>
    <w:semiHidden/>
    <w:unhideWhenUsed/>
    <w:rsid w:val="00612239"/>
    <w:rPr>
      <w:color w:val="605E5C"/>
      <w:shd w:val="clear" w:color="auto" w:fill="E1DFDD"/>
    </w:rPr>
  </w:style>
  <w:style w:type="paragraph" w:styleId="NormalWeb">
    <w:name w:val="Normal (Web)"/>
    <w:basedOn w:val="Normal"/>
    <w:uiPriority w:val="99"/>
    <w:semiHidden/>
    <w:unhideWhenUsed/>
    <w:rsid w:val="008051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28377">
      <w:bodyDiv w:val="1"/>
      <w:marLeft w:val="0"/>
      <w:marRight w:val="0"/>
      <w:marTop w:val="0"/>
      <w:marBottom w:val="0"/>
      <w:divBdr>
        <w:top w:val="none" w:sz="0" w:space="0" w:color="auto"/>
        <w:left w:val="none" w:sz="0" w:space="0" w:color="auto"/>
        <w:bottom w:val="none" w:sz="0" w:space="0" w:color="auto"/>
        <w:right w:val="none" w:sz="0" w:space="0" w:color="auto"/>
      </w:divBdr>
    </w:div>
    <w:div w:id="540898447">
      <w:bodyDiv w:val="1"/>
      <w:marLeft w:val="0"/>
      <w:marRight w:val="0"/>
      <w:marTop w:val="0"/>
      <w:marBottom w:val="0"/>
      <w:divBdr>
        <w:top w:val="none" w:sz="0" w:space="0" w:color="auto"/>
        <w:left w:val="none" w:sz="0" w:space="0" w:color="auto"/>
        <w:bottom w:val="none" w:sz="0" w:space="0" w:color="auto"/>
        <w:right w:val="none" w:sz="0" w:space="0" w:color="auto"/>
      </w:divBdr>
    </w:div>
    <w:div w:id="907039330">
      <w:bodyDiv w:val="1"/>
      <w:marLeft w:val="0"/>
      <w:marRight w:val="0"/>
      <w:marTop w:val="0"/>
      <w:marBottom w:val="0"/>
      <w:divBdr>
        <w:top w:val="none" w:sz="0" w:space="0" w:color="auto"/>
        <w:left w:val="none" w:sz="0" w:space="0" w:color="auto"/>
        <w:bottom w:val="none" w:sz="0" w:space="0" w:color="auto"/>
        <w:right w:val="none" w:sz="0" w:space="0" w:color="auto"/>
      </w:divBdr>
    </w:div>
    <w:div w:id="1253900479">
      <w:bodyDiv w:val="1"/>
      <w:marLeft w:val="0"/>
      <w:marRight w:val="0"/>
      <w:marTop w:val="0"/>
      <w:marBottom w:val="0"/>
      <w:divBdr>
        <w:top w:val="none" w:sz="0" w:space="0" w:color="auto"/>
        <w:left w:val="none" w:sz="0" w:space="0" w:color="auto"/>
        <w:bottom w:val="none" w:sz="0" w:space="0" w:color="auto"/>
        <w:right w:val="none" w:sz="0" w:space="0" w:color="auto"/>
      </w:divBdr>
    </w:div>
    <w:div w:id="1805007156">
      <w:bodyDiv w:val="1"/>
      <w:marLeft w:val="0"/>
      <w:marRight w:val="0"/>
      <w:marTop w:val="0"/>
      <w:marBottom w:val="0"/>
      <w:divBdr>
        <w:top w:val="none" w:sz="0" w:space="0" w:color="auto"/>
        <w:left w:val="none" w:sz="0" w:space="0" w:color="auto"/>
        <w:bottom w:val="none" w:sz="0" w:space="0" w:color="auto"/>
        <w:right w:val="none" w:sz="0" w:space="0" w:color="auto"/>
      </w:divBdr>
    </w:div>
    <w:div w:id="1955745612">
      <w:bodyDiv w:val="1"/>
      <w:marLeft w:val="0"/>
      <w:marRight w:val="0"/>
      <w:marTop w:val="0"/>
      <w:marBottom w:val="0"/>
      <w:divBdr>
        <w:top w:val="none" w:sz="0" w:space="0" w:color="auto"/>
        <w:left w:val="none" w:sz="0" w:space="0" w:color="auto"/>
        <w:bottom w:val="none" w:sz="0" w:space="0" w:color="auto"/>
        <w:right w:val="none" w:sz="0" w:space="0" w:color="auto"/>
      </w:divBdr>
    </w:div>
    <w:div w:id="19695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888/lab/tree/compiled_housing_dashboar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ruchi798/housing-prices-in-metropolitan-areas-of-india"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Debrupa Mukherjee</dc:creator>
  <cp:keywords/>
  <dc:description/>
  <cp:lastModifiedBy>Debrupa Mukherjee</cp:lastModifiedBy>
  <cp:revision>10</cp:revision>
  <dcterms:created xsi:type="dcterms:W3CDTF">2025-07-30T06:02:00Z</dcterms:created>
  <dcterms:modified xsi:type="dcterms:W3CDTF">2025-08-01T06:05:00Z</dcterms:modified>
</cp:coreProperties>
</file>