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200" w:before="0"/>
        <w:jc w:val="center"/>
      </w:pPr>
      <w:r>
        <w:rPr>
          <w:rFonts w:ascii="Arial" w:cs="Arial" w:eastAsia="Arial" w:hAnsi="Arial"/>
          <w:b/>
          <w:bCs/>
          <w:color w:val="1E4D8C"/>
          <w:sz w:val="52"/>
          <w:szCs w:val="52"/>
        </w:rPr>
        <w:t xml:space="preserve">DB Triage AI Agent</w:t>
      </w:r>
    </w:p>
    <w:p>
      <w:pPr>
        <w:spacing w:after="120" w:before="0"/>
        <w:jc w:val="center"/>
      </w:pPr>
      <w:r>
        <w:rPr>
          <w:rFonts w:ascii="Arial" w:cs="Arial" w:eastAsia="Arial" w:hAnsi="Arial"/>
          <w:color w:val="444444"/>
          <w:sz w:val="30"/>
          <w:szCs w:val="30"/>
        </w:rPr>
        <w:t xml:space="preserve">High-Level System Design  —  Oracle Scale</w:t>
      </w:r>
    </w:p>
    <w:p>
      <w:pPr>
        <w:spacing w:after="600" w:before="0"/>
        <w:jc w:val="center"/>
      </w:pPr>
      <w:r>
        <w:rPr>
          <w:rFonts w:ascii="Arial" w:cs="Arial" w:eastAsia="Arial" w:hAnsi="Arial"/>
          <w:color w:val="666666"/>
          <w:sz w:val="24"/>
          <w:szCs w:val="24"/>
        </w:rPr>
        <w:t xml:space="preserve">Debtanu Pal  |  Senior Software Engineer</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D8C"/>
                <w:sz w:val="20"/>
                <w:szCs w:val="20"/>
              </w:rPr>
              <w:t xml:space="preserve">Version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 — Initial Design</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D8C"/>
                <w:sz w:val="20"/>
                <w:szCs w:val="20"/>
              </w:rPr>
              <w:t xml:space="preserve">Date</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May 2026</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D8C"/>
                <w:sz w:val="20"/>
                <w:szCs w:val="20"/>
              </w:rPr>
              <w:t xml:space="preserve">Status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Draft — For Review</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D8C"/>
                <w:sz w:val="20"/>
                <w:szCs w:val="20"/>
              </w:rPr>
              <w:t xml:space="preserve">Classification</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Internal — Confidential</w:t>
            </w:r>
          </w:p>
        </w:tc>
      </w:tr>
    </w:tbl>
    <w:p>
      <w:r>
        <w:br w:type="page"/>
      </w:r>
    </w:p>
    <w:p>
      <w:pPr>
        <w:pStyle w:val="Heading1"/>
        <w:pBdr>
          <w:bottom w:val="single" w:color="1E4D8C" w:sz="6" w:space="4"/>
        </w:pBdr>
        <w:spacing w:after="180" w:before="360"/>
      </w:pPr>
      <w:r>
        <w:rPr>
          <w:rFonts w:ascii="Arial" w:cs="Arial" w:eastAsia="Arial" w:hAnsi="Arial"/>
          <w:b/>
          <w:bCs/>
          <w:color w:val="1E4D8C"/>
          <w:sz w:val="28"/>
          <w:szCs w:val="28"/>
        </w:rPr>
        <w:t xml:space="preserve">1. Executive Summary</w:t>
      </w:r>
    </w:p>
    <w:p>
      <w:pPr>
        <w:spacing w:after="120" w:before="60"/>
      </w:pPr>
      <w:r>
        <w:rPr>
          <w:rFonts w:ascii="Arial" w:cs="Arial" w:eastAsia="Arial" w:hAnsi="Arial"/>
          <w:color w:val="1A1A1A"/>
          <w:sz w:val="22"/>
          <w:szCs w:val="22"/>
        </w:rPr>
        <w:t xml:space="preserve">The DB Triage AI Agent is an autonomous system designed to detect, explain, and rewrite inefficient SQL queries at Oracle scale — across OCI Autonomous Database, Exadata clusters, and on-premises Oracle deployments. It reduces manual DBA debugging effort by embedding AI-driven query diagnosis directly into developer workflows, with production-grade guardrails that prevent unsafe rewrites from reaching live databases.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single" w:color="CCCCCC" w:sz="1"/>
              <w:left w:val="single" w:color="CCCCCC" w:sz="1"/>
              <w:bottom w:val="single" w:color="CCCCCC" w:sz="1"/>
              <w:right w:val="single" w:color="CCCCC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SCALE</w:t>
            </w:r>
          </w:p>
        </w:tc>
        <w:tc>
          <w:tcPr>
            <w:tcW w:type="dxa" w:w="816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color w:val="1A1A1A"/>
                <w:sz w:val="20"/>
                <w:szCs w:val="20"/>
              </w:rPr>
              <w:t xml:space="preserve">Designed to handle telemetry from 100,000+ database instances, processing millions of slow query events per day with sub-second triage latency for pre-filter decisions and &lt;30s end-to-end for full LLM-driven rewrites.</w:t>
            </w:r>
          </w:p>
        </w:tc>
      </w:tr>
    </w:tbl>
    <w:p>
      <w:pPr>
        <w:spacing w:after="60" w:before="60"/>
      </w:pPr>
      <w:r>
        <w:t xml:space="preserve"/>
      </w:r>
    </w:p>
    <w:p>
      <w:pPr>
        <w:pStyle w:val="Heading2"/>
        <w:spacing w:after="120" w:before="280"/>
      </w:pPr>
      <w:r>
        <w:rPr>
          <w:rFonts w:ascii="Arial" w:cs="Arial" w:eastAsia="Arial" w:hAnsi="Arial"/>
          <w:b/>
          <w:bCs/>
          <w:color w:val="1E4D8C"/>
          <w:sz w:val="24"/>
          <w:szCs w:val="24"/>
        </w:rPr>
        <w:t xml:space="preserve">1.1 Core Capabilities</w:t>
      </w:r>
    </w:p>
    <w:p>
      <w:pPr>
        <w:pStyle w:val="ListParagraph"/>
        <w:numPr>
          <w:ilvl w:val="0"/>
          <w:numId w:val="2"/>
        </w:numPr>
        <w:spacing w:after="40" w:before="40"/>
      </w:pPr>
      <w:r>
        <w:rPr>
          <w:rFonts w:ascii="Arial" w:cs="Arial" w:eastAsia="Arial" w:hAnsi="Arial"/>
          <w:color w:val="1A1A1A"/>
          <w:sz w:val="22"/>
          <w:szCs w:val="22"/>
        </w:rPr>
        <w:t xml:space="preserve">Automated slow query detection via streaming telemetry ingestion from all Oracle DB deployment types</w:t>
      </w:r>
    </w:p>
    <w:p>
      <w:pPr>
        <w:pStyle w:val="ListParagraph"/>
        <w:numPr>
          <w:ilvl w:val="0"/>
          <w:numId w:val="2"/>
        </w:numPr>
        <w:spacing w:after="40" w:before="40"/>
      </w:pPr>
      <w:r>
        <w:rPr>
          <w:rFonts w:ascii="Arial" w:cs="Arial" w:eastAsia="Arial" w:hAnsi="Arial"/>
          <w:color w:val="1A1A1A"/>
          <w:sz w:val="22"/>
          <w:szCs w:val="22"/>
        </w:rPr>
        <w:t xml:space="preserve">Root cause diagnosis using a ReAct-loop agent (Reason → Act → Observe) with access to EXPLAIN plans, table statistics, and index metadata</w:t>
      </w:r>
    </w:p>
    <w:p>
      <w:pPr>
        <w:pStyle w:val="ListParagraph"/>
        <w:numPr>
          <w:ilvl w:val="0"/>
          <w:numId w:val="2"/>
        </w:numPr>
        <w:spacing w:after="40" w:before="40"/>
      </w:pPr>
      <w:r>
        <w:rPr>
          <w:rFonts w:ascii="Arial" w:cs="Arial" w:eastAsia="Arial" w:hAnsi="Arial"/>
          <w:color w:val="1A1A1A"/>
          <w:sz w:val="22"/>
          <w:szCs w:val="22"/>
        </w:rPr>
        <w:t xml:space="preserve">Candidate SQL rewrite generation with structured LLM prompting and few-shot examples</w:t>
      </w:r>
    </w:p>
    <w:p>
      <w:pPr>
        <w:pStyle w:val="ListParagraph"/>
        <w:numPr>
          <w:ilvl w:val="0"/>
          <w:numId w:val="2"/>
        </w:numPr>
        <w:spacing w:after="40" w:before="40"/>
      </w:pPr>
      <w:r>
        <w:rPr>
          <w:rFonts w:ascii="Arial" w:cs="Arial" w:eastAsia="Arial" w:hAnsi="Arial"/>
          <w:color w:val="1A1A1A"/>
          <w:sz w:val="22"/>
          <w:szCs w:val="22"/>
        </w:rPr>
        <w:t xml:space="preserve">Four-layer guardrail validation: semantic equivalence, schema binding, plan regression, mutation safety</w:t>
      </w:r>
    </w:p>
    <w:p>
      <w:pPr>
        <w:pStyle w:val="ListParagraph"/>
        <w:numPr>
          <w:ilvl w:val="0"/>
          <w:numId w:val="2"/>
        </w:numPr>
        <w:spacing w:after="40" w:before="40"/>
      </w:pPr>
      <w:r>
        <w:rPr>
          <w:rFonts w:ascii="Arial" w:cs="Arial" w:eastAsia="Arial" w:hAnsi="Arial"/>
          <w:color w:val="1A1A1A"/>
          <w:sz w:val="22"/>
          <w:szCs w:val="22"/>
        </w:rPr>
        <w:t xml:space="preserve">Developer workflow integration: SQL IDE plugin, CI/CD gate, OCI Console DBA dashboard</w:t>
      </w:r>
    </w:p>
    <w:p>
      <w:pPr>
        <w:pStyle w:val="ListParagraph"/>
        <w:numPr>
          <w:ilvl w:val="0"/>
          <w:numId w:val="2"/>
        </w:numPr>
        <w:spacing w:after="40" w:before="40"/>
      </w:pPr>
      <w:r>
        <w:rPr>
          <w:rFonts w:ascii="Arial" w:cs="Arial" w:eastAsia="Arial" w:hAnsi="Arial"/>
          <w:color w:val="1A1A1A"/>
          <w:sz w:val="22"/>
          <w:szCs w:val="22"/>
        </w:rPr>
        <w:t xml:space="preserve">Continuous improvement via DBA feedback loops and weekly DPO/LoRA fine-tuning</w:t>
      </w:r>
    </w:p>
    <w:p>
      <w:pPr>
        <w:spacing w:after="60" w:before="60"/>
      </w:pPr>
      <w:r>
        <w:t xml:space="preserve"/>
      </w:r>
    </w:p>
    <w:p>
      <w:r>
        <w:br w:type="page"/>
      </w:r>
    </w:p>
    <w:p>
      <w:pPr>
        <w:pStyle w:val="Heading1"/>
        <w:pBdr>
          <w:bottom w:val="single" w:color="1E4D8C" w:sz="6" w:space="4"/>
        </w:pBdr>
        <w:spacing w:after="180" w:before="360"/>
      </w:pPr>
      <w:r>
        <w:rPr>
          <w:rFonts w:ascii="Arial" w:cs="Arial" w:eastAsia="Arial" w:hAnsi="Arial"/>
          <w:b/>
          <w:bCs/>
          <w:color w:val="1E4D8C"/>
          <w:sz w:val="28"/>
          <w:szCs w:val="28"/>
        </w:rPr>
        <w:t xml:space="preserve">2. System Architecture</w:t>
      </w:r>
    </w:p>
    <w:p>
      <w:pPr>
        <w:spacing w:after="120" w:before="60"/>
      </w:pPr>
      <w:r>
        <w:rPr>
          <w:rFonts w:ascii="Arial" w:cs="Arial" w:eastAsia="Arial" w:hAnsi="Arial"/>
          <w:color w:val="1A1A1A"/>
          <w:sz w:val="22"/>
          <w:szCs w:val="22"/>
        </w:rPr>
        <w:t xml:space="preserve">The system is structured into four horizontal planes that interact through well-defined interfaces. Each plane can scale independently.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r>
              <w:rPr>
                <w:rFonts w:ascii="Arial" w:cs="Arial" w:eastAsia="Arial" w:hAnsi="Arial"/>
                <w:b/>
                <w:bCs/>
                <w:color w:val="1E4D8C"/>
                <w:sz w:val="24"/>
                <w:szCs w:val="24"/>
              </w:rPr>
              <w:t xml:space="preserve">Plane 1 — Telemetry Sources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34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4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Collection Method</w:t>
            </w:r>
          </w:p>
        </w:tc>
        <w:tc>
          <w:tcPr>
            <w:tcW w:type="dxa" w:w="234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Key Telemetry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OCI Autonomous DB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Managed Oracle cloud DB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Native telemetry API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V$SQL, AWR, ASH snapshots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Exadata Clusters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High-performance on-prem + cloud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DB Agent collector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CellStat, IORM, SQL Monitor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On-premises Oracle DB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Self-managed Oracle installations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Lightweight agent sidecar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V$SQL, EXPLAIN PLAN, DBA_HIST_SQLSTAT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r>
              <w:rPr>
                <w:rFonts w:ascii="Arial" w:cs="Arial" w:eastAsia="Arial" w:hAnsi="Arial"/>
                <w:b/>
                <w:bCs/>
                <w:color w:val="1E4D8C"/>
                <w:sz w:val="24"/>
                <w:szCs w:val="24"/>
              </w:rPr>
              <w:t xml:space="preserve">Plane 2 — Ingestion Plane</w:t>
            </w:r>
          </w:p>
        </w:tc>
      </w:tr>
    </w:tbl>
    <w:p>
      <w:pPr>
        <w:spacing w:after="0" w:before="0"/>
      </w:pPr>
      <w:r>
        <w:t xml:space="preserve"/>
      </w:r>
    </w:p>
    <w:p>
      <w:pPr>
        <w:spacing w:after="120" w:before="60"/>
      </w:pPr>
      <w:r>
        <w:rPr>
          <w:rFonts w:ascii="Arial" w:cs="Arial" w:eastAsia="Arial" w:hAnsi="Arial"/>
          <w:color w:val="1A1A1A"/>
          <w:sz w:val="22"/>
          <w:szCs w:val="22"/>
        </w:rPr>
        <w:t xml:space="preserve">All telemetry flows through a high-throughput streaming pipeline before reaching the agent. This decouples source emission rates from agent processing capacity.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12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Streaming Ingestor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OCI Streaming / Apache Kafka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Partitioned by db_id; 7-day retention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Telemetry Normalizer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Java/Go stream processor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Schema normalization, dedup by plan hash, enrichment with DB metadata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Slow Query Classifier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Rule + heuristic engine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Flags queries exceeding runtime/cost thresholds; priority scoring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r>
              <w:rPr>
                <w:rFonts w:ascii="Arial" w:cs="Arial" w:eastAsia="Arial" w:hAnsi="Arial"/>
                <w:b/>
                <w:bCs/>
                <w:color w:val="1E4D8C"/>
                <w:sz w:val="24"/>
                <w:szCs w:val="24"/>
              </w:rPr>
              <w:t xml:space="preserve">Plane 3 — Agent Orchestration Plane</w:t>
            </w:r>
          </w:p>
        </w:tc>
      </w:tr>
    </w:tbl>
    <w:p>
      <w:pPr>
        <w:spacing w:after="0" w:before="0"/>
      </w:pPr>
      <w:r>
        <w:t xml:space="preserve"/>
      </w:r>
    </w:p>
    <w:p>
      <w:pPr>
        <w:spacing w:after="120" w:before="60"/>
      </w:pPr>
      <w:r>
        <w:rPr>
          <w:rFonts w:ascii="Arial" w:cs="Arial" w:eastAsia="Arial" w:hAnsi="Arial"/>
          <w:color w:val="1A1A1A"/>
          <w:sz w:val="22"/>
          <w:szCs w:val="22"/>
        </w:rPr>
        <w:t xml:space="preserve">The core intelligence layer. Each flagged query triggers an independent agent invocation running a bounded ReAct loop.</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12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Agent Orchestrator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Python / LangGraph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Manages the ReAct loop, tool dispatch, iteration budget (max 5 rounds), and result assembly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SQL Analysis Agent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Tool-calling LLM sub-agent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Fetches EXPLAIN plan, table row counts, index usage stats, historical plan regressions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Rewrite Agent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LLM (fine-tuned Oracle SQL)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Generates candidate rewrite with structured output: SQL + rationale + confidence score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Knowledge Base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Oracle NoSQL / pgvector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Indexed query patterns, anti-patterns, index strategies, schema-specific hints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Guardrail Layer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Synchronous validation service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Four independent checks before any output is surfaced (see Section 4)</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Feedback Store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Oracle DB + object storage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DBA accept/reject labels, implicit latency delta signals, CI block events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r>
              <w:rPr>
                <w:rFonts w:ascii="Arial" w:cs="Arial" w:eastAsia="Arial" w:hAnsi="Arial"/>
                <w:b/>
                <w:bCs/>
                <w:color w:val="1E4D8C"/>
                <w:sz w:val="24"/>
                <w:szCs w:val="24"/>
              </w:rPr>
              <w:t xml:space="preserve">Plane 4 — Developer Workflow Integration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12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SQL IDE Plugin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VS Code / SQL Developer extension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Surfaces suggestions inline as the developer writes queries; one-click apply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CI/CD Gate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GitHub Actions / OCI DevOps hook</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Blocks PRs containing queries matching slow patterns; posts diff with suggested rewrite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OCI Console DBA Panel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OCI Console frontend component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Real-time dashboard: active alerts, pending rewrites, accept/reject queue, trend charts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Notification Router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OCI Notifications + PagerDuty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Severity-based routing: critical alerts page on-call DBA, info-level sends digest email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Audit Log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Immutable OCI Object Storage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Every agent decision, input, output, and confidence score retained for compliance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Human Review Queue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Internal review UI</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Low-confidence rewrites queued for DBA review before surfacing; source of gold labels</w:t>
            </w:r>
          </w:p>
        </w:tc>
      </w:tr>
    </w:tbl>
    <w:p>
      <w:pPr>
        <w:spacing w:after="60" w:before="60"/>
      </w:pPr>
      <w:r>
        <w:t xml:space="preserve"/>
      </w:r>
    </w:p>
    <w:p>
      <w:r>
        <w:br w:type="page"/>
      </w:r>
    </w:p>
    <w:p>
      <w:pPr>
        <w:pStyle w:val="Heading1"/>
        <w:pBdr>
          <w:bottom w:val="single" w:color="1E4D8C" w:sz="6" w:space="4"/>
        </w:pBdr>
        <w:spacing w:after="180" w:before="360"/>
      </w:pPr>
      <w:r>
        <w:rPr>
          <w:rFonts w:ascii="Arial" w:cs="Arial" w:eastAsia="Arial" w:hAnsi="Arial"/>
          <w:b/>
          <w:bCs/>
          <w:color w:val="1E4D8C"/>
          <w:sz w:val="28"/>
          <w:szCs w:val="28"/>
        </w:rPr>
        <w:t xml:space="preserve">3. Agent Internals: One Query's Journey</w:t>
      </w:r>
    </w:p>
    <w:p>
      <w:pPr>
        <w:spacing w:after="120" w:before="60"/>
      </w:pPr>
      <w:r>
        <w:rPr>
          <w:rFonts w:ascii="Arial" w:cs="Arial" w:eastAsia="Arial" w:hAnsi="Arial"/>
          <w:color w:val="1A1A1A"/>
          <w:sz w:val="22"/>
          <w:szCs w:val="22"/>
        </w:rPr>
        <w:t xml:space="preserve">When the slow query classifier flags a query, the following sequence executes for each event. Steps 1–3 are synchronous pre-processing. Steps 4–6 are the bounded ReAct loop. Steps 7–8 are post-processing and output.</w:t>
      </w:r>
    </w:p>
    <w:p>
      <w:pPr>
        <w:spacing w:after="60" w:before="60"/>
      </w:pPr>
      <w:r>
        <w:t xml:space="preserve"/>
      </w:r>
    </w:p>
    <w:p>
      <w:pPr>
        <w:pStyle w:val="Heading3"/>
        <w:spacing w:after="80" w:before="200"/>
      </w:pPr>
      <w:r>
        <w:rPr>
          <w:rFonts w:ascii="Arial" w:cs="Arial" w:eastAsia="Arial" w:hAnsi="Arial"/>
          <w:b/>
          <w:bCs/>
          <w:color w:val="444444"/>
          <w:sz w:val="22"/>
          <w:szCs w:val="22"/>
        </w:rPr>
        <w:t xml:space="preserve">Step 1 — Event intake and pre-filter</w:t>
      </w:r>
    </w:p>
    <w:p>
      <w:pPr>
        <w:spacing w:after="120" w:before="60"/>
      </w:pPr>
      <w:r>
        <w:rPr>
          <w:rFonts w:ascii="Arial" w:cs="Arial" w:eastAsia="Arial" w:hAnsi="Arial"/>
          <w:color w:val="1A1A1A"/>
          <w:sz w:val="22"/>
          <w:szCs w:val="22"/>
        </w:rPr>
        <w:t xml:space="preserve">The query event payload contains: SQL text (up to 4KB), normalized runtime (ms), plan hash, execution count, db_id, tenant_id, and timestamp. Before invoking the LLM, a pre-filter checks three conditions:</w:t>
      </w:r>
    </w:p>
    <w:p>
      <w:pPr>
        <w:pStyle w:val="ListParagraph"/>
        <w:numPr>
          <w:ilvl w:val="0"/>
          <w:numId w:val="2"/>
        </w:numPr>
        <w:spacing w:after="40" w:before="40"/>
      </w:pPr>
      <w:r>
        <w:rPr>
          <w:rFonts w:ascii="Arial" w:cs="Arial" w:eastAsia="Arial" w:hAnsi="Arial"/>
          <w:color w:val="1A1A1A"/>
          <w:sz w:val="22"/>
          <w:szCs w:val="22"/>
        </w:rPr>
        <w:t xml:space="preserve">Cache hit: Is an identical plan hash already rewritten and accepted within the last 24h? If yes, serve cached result immediately without LLM call.</w:t>
      </w:r>
    </w:p>
    <w:p>
      <w:pPr>
        <w:pStyle w:val="ListParagraph"/>
        <w:numPr>
          <w:ilvl w:val="0"/>
          <w:numId w:val="2"/>
        </w:numPr>
        <w:spacing w:after="40" w:before="40"/>
      </w:pPr>
      <w:r>
        <w:rPr>
          <w:rFonts w:ascii="Arial" w:cs="Arial" w:eastAsia="Arial" w:hAnsi="Arial"/>
          <w:color w:val="1A1A1A"/>
          <w:sz w:val="22"/>
          <w:szCs w:val="22"/>
        </w:rPr>
        <w:t xml:space="preserve">Dedup: Has this exact query already been submitted in the last 60s? Drop duplicate.</w:t>
      </w:r>
    </w:p>
    <w:p>
      <w:pPr>
        <w:pStyle w:val="ListParagraph"/>
        <w:numPr>
          <w:ilvl w:val="0"/>
          <w:numId w:val="2"/>
        </w:numPr>
        <w:spacing w:after="40" w:before="40"/>
      </w:pPr>
      <w:r>
        <w:rPr>
          <w:rFonts w:ascii="Arial" w:cs="Arial" w:eastAsia="Arial" w:hAnsi="Arial"/>
          <w:color w:val="1A1A1A"/>
          <w:sz w:val="22"/>
          <w:szCs w:val="22"/>
        </w:rPr>
        <w:t xml:space="preserve">Budget check: Is the tenant within its daily LLM invocation quota? If not, queue for off-peak processing.</w:t>
      </w:r>
    </w:p>
    <w:p>
      <w:pPr>
        <w:spacing w:after="60" w:before="60"/>
      </w:pPr>
      <w:r>
        <w:t xml:space="preserve"/>
      </w:r>
    </w:p>
    <w:p>
      <w:pPr>
        <w:pStyle w:val="Heading3"/>
        <w:spacing w:after="80" w:before="200"/>
      </w:pPr>
      <w:r>
        <w:rPr>
          <w:rFonts w:ascii="Arial" w:cs="Arial" w:eastAsia="Arial" w:hAnsi="Arial"/>
          <w:b/>
          <w:bCs/>
          <w:color w:val="444444"/>
          <w:sz w:val="22"/>
          <w:szCs w:val="22"/>
        </w:rPr>
        <w:t xml:space="preserve">Step 2 — Context assembly</w:t>
      </w:r>
    </w:p>
    <w:p>
      <w:pPr>
        <w:spacing w:after="120" w:before="60"/>
      </w:pPr>
      <w:r>
        <w:rPr>
          <w:rFonts w:ascii="Arial" w:cs="Arial" w:eastAsia="Arial" w:hAnsi="Arial"/>
          <w:color w:val="1A1A1A"/>
          <w:sz w:val="22"/>
          <w:szCs w:val="22"/>
        </w:rPr>
        <w:t xml:space="preserve">Before entering the ReAct loop, the orchestrator assembles a rich context packet from tool calls:</w:t>
      </w:r>
    </w:p>
    <w:p>
      <w:pPr>
        <w:pStyle w:val="ListParagraph"/>
        <w:numPr>
          <w:ilvl w:val="0"/>
          <w:numId w:val="2"/>
        </w:numPr>
        <w:spacing w:after="40" w:before="40"/>
      </w:pPr>
      <w:r>
        <w:rPr>
          <w:rFonts w:ascii="Arial" w:cs="Arial" w:eastAsia="Arial" w:hAnsi="Arial"/>
          <w:color w:val="1A1A1A"/>
          <w:sz w:val="22"/>
          <w:szCs w:val="22"/>
        </w:rPr>
        <w:t xml:space="preserve">EXPLAIN PLAN output for the query on a shadow read-replica</w:t>
      </w:r>
    </w:p>
    <w:p>
      <w:pPr>
        <w:pStyle w:val="ListParagraph"/>
        <w:numPr>
          <w:ilvl w:val="0"/>
          <w:numId w:val="2"/>
        </w:numPr>
        <w:spacing w:after="40" w:before="40"/>
      </w:pPr>
      <w:r>
        <w:rPr>
          <w:rFonts w:ascii="Arial" w:cs="Arial" w:eastAsia="Arial" w:hAnsi="Arial"/>
          <w:color w:val="1A1A1A"/>
          <w:sz w:val="22"/>
          <w:szCs w:val="22"/>
        </w:rPr>
        <w:t xml:space="preserve">Table statistics: row counts, column cardinality, stale stats flag</w:t>
      </w:r>
    </w:p>
    <w:p>
      <w:pPr>
        <w:pStyle w:val="ListParagraph"/>
        <w:numPr>
          <w:ilvl w:val="0"/>
          <w:numId w:val="2"/>
        </w:numPr>
        <w:spacing w:after="40" w:before="40"/>
      </w:pPr>
      <w:r>
        <w:rPr>
          <w:rFonts w:ascii="Arial" w:cs="Arial" w:eastAsia="Arial" w:hAnsi="Arial"/>
          <w:color w:val="1A1A1A"/>
          <w:sz w:val="22"/>
          <w:szCs w:val="22"/>
        </w:rPr>
        <w:t xml:space="preserve">Index inventory: existing indexes on referenced tables, index selectivity</w:t>
      </w:r>
    </w:p>
    <w:p>
      <w:pPr>
        <w:pStyle w:val="ListParagraph"/>
        <w:numPr>
          <w:ilvl w:val="0"/>
          <w:numId w:val="2"/>
        </w:numPr>
        <w:spacing w:after="40" w:before="40"/>
      </w:pPr>
      <w:r>
        <w:rPr>
          <w:rFonts w:ascii="Arial" w:cs="Arial" w:eastAsia="Arial" w:hAnsi="Arial"/>
          <w:color w:val="1A1A1A"/>
          <w:sz w:val="22"/>
          <w:szCs w:val="22"/>
        </w:rPr>
        <w:t xml:space="preserve">Historical plan regressions: last 10 plan changes for this SQL_ID from AWR</w:t>
      </w:r>
    </w:p>
    <w:p>
      <w:pPr>
        <w:pStyle w:val="ListParagraph"/>
        <w:numPr>
          <w:ilvl w:val="0"/>
          <w:numId w:val="2"/>
        </w:numPr>
        <w:spacing w:after="40" w:before="40"/>
      </w:pPr>
      <w:r>
        <w:rPr>
          <w:rFonts w:ascii="Arial" w:cs="Arial" w:eastAsia="Arial" w:hAnsi="Arial"/>
          <w:color w:val="1A1A1A"/>
          <w:sz w:val="22"/>
          <w:szCs w:val="22"/>
        </w:rPr>
        <w:t xml:space="preserve">Schema DDL: CREATE TABLE statements for all referenced tables (truncated to 2KB each)</w:t>
      </w:r>
    </w:p>
    <w:p>
      <w:pPr>
        <w:pStyle w:val="ListParagraph"/>
        <w:numPr>
          <w:ilvl w:val="0"/>
          <w:numId w:val="2"/>
        </w:numPr>
        <w:spacing w:after="40" w:before="40"/>
      </w:pPr>
      <w:r>
        <w:rPr>
          <w:rFonts w:ascii="Arial" w:cs="Arial" w:eastAsia="Arial" w:hAnsi="Arial"/>
          <w:color w:val="1A1A1A"/>
          <w:sz w:val="22"/>
          <w:szCs w:val="22"/>
        </w:rPr>
        <w:t xml:space="preserve">Similar past queries: top-3 nearest neighbours from the knowledge base (vector similarity on SQL embedding)</w:t>
      </w:r>
    </w:p>
    <w:p>
      <w:pPr>
        <w:spacing w:after="60" w:before="60"/>
      </w:pPr>
      <w:r>
        <w:t xml:space="preserve"/>
      </w:r>
    </w:p>
    <w:p>
      <w:pPr>
        <w:pStyle w:val="Heading3"/>
        <w:spacing w:after="80" w:before="200"/>
      </w:pPr>
      <w:r>
        <w:rPr>
          <w:rFonts w:ascii="Arial" w:cs="Arial" w:eastAsia="Arial" w:hAnsi="Arial"/>
          <w:b/>
          <w:bCs/>
          <w:color w:val="444444"/>
          <w:sz w:val="22"/>
          <w:szCs w:val="22"/>
        </w:rPr>
        <w:t xml:space="preserve">Step 3 — ReAct loop (max 5 iterations)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single" w:color="CCCCCC" w:sz="1"/>
              <w:left w:val="single" w:color="CCCCCC" w:sz="1"/>
              <w:bottom w:val="single" w:color="CCCCCC" w:sz="1"/>
              <w:right w:val="single" w:color="CCCCC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REASON</w:t>
            </w:r>
          </w:p>
        </w:tc>
        <w:tc>
          <w:tcPr>
            <w:tcW w:type="dxa" w:w="8160"/>
            <w:tcBorders>
              <w:top w:val="single" w:color="CCCCCC" w:sz="1"/>
              <w:left w:val="single" w:color="CCCCCC" w:sz="1"/>
              <w:bottom w:val="single" w:color="CCCCCC" w:sz="1"/>
              <w:right w:val="single" w:color="CCCCCC" w:sz="1"/>
            </w:tcBorders>
            <w:shd w:fill="EDE7F6" w:val="clear"/>
            <w:tcMar>
              <w:top w:type="dxa" w:w="100"/>
              <w:left w:type="dxa" w:w="150"/>
              <w:bottom w:type="dxa" w:w="100"/>
              <w:right w:type="dxa" w:w="150"/>
            </w:tcMar>
          </w:tcPr>
          <w:p>
            <w:r>
              <w:rPr>
                <w:rFonts w:ascii="Arial" w:cs="Arial" w:eastAsia="Arial" w:hAnsi="Arial"/>
                <w:color w:val="1A1A1A"/>
                <w:sz w:val="20"/>
                <w:szCs w:val="20"/>
              </w:rPr>
              <w:t xml:space="preserve">LLM analyses the assembled context and produces a structured diagnosis: identified bottleneck type (full table scan / missing index / nested loop on large table / Cartesian join / implicit type conversion / etc.), confidence in the diagnosis, and a plan for the next tool call needed to confirm it.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single" w:color="CCCCCC" w:sz="1"/>
              <w:left w:val="single" w:color="CCCCCC" w:sz="1"/>
              <w:bottom w:val="single" w:color="CCCCCC" w:sz="1"/>
              <w:right w:val="single" w:color="CCCCC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ACT</w:t>
            </w:r>
          </w:p>
        </w:tc>
        <w:tc>
          <w:tcPr>
            <w:tcW w:type="dxa" w:w="8160"/>
            <w:tcBorders>
              <w:top w:val="single" w:color="CCCCCC" w:sz="1"/>
              <w:left w:val="single" w:color="CCCCCC" w:sz="1"/>
              <w:bottom w:val="single" w:color="CCCCCC" w:sz="1"/>
              <w:right w:val="single" w:color="CCCCCC" w:sz="1"/>
            </w:tcBorders>
            <w:shd w:fill="DFF0D8" w:val="clear"/>
            <w:tcMar>
              <w:top w:type="dxa" w:w="100"/>
              <w:left w:type="dxa" w:w="150"/>
              <w:bottom w:type="dxa" w:w="100"/>
              <w:right w:type="dxa" w:w="150"/>
            </w:tcMar>
          </w:tcPr>
          <w:p>
            <w:r>
              <w:rPr>
                <w:rFonts w:ascii="Arial" w:cs="Arial" w:eastAsia="Arial" w:hAnsi="Arial"/>
                <w:color w:val="1A1A1A"/>
                <w:sz w:val="20"/>
                <w:szCs w:val="20"/>
              </w:rPr>
              <w:t xml:space="preserve">The orchestrator executes the tool calls requested in the Reason step. Available tools: run_explain(sql), get_table_stats(table_name), list_indexes(table_name), get_column_stats(table, col), fetch_sql_history(sql_id), lookup_pattern(embedding).</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single" w:color="CCCCCC" w:sz="1"/>
              <w:left w:val="single" w:color="CCCCCC" w:sz="1"/>
              <w:bottom w:val="single" w:color="CCCCCC" w:sz="1"/>
              <w:right w:val="single" w:color="CCCCC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OBSERVE</w:t>
            </w:r>
          </w:p>
        </w:tc>
        <w:tc>
          <w:tcPr>
            <w:tcW w:type="dxa" w:w="816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color w:val="1A1A1A"/>
                <w:sz w:val="20"/>
                <w:szCs w:val="20"/>
              </w:rPr>
              <w:t xml:space="preserve">Tool outputs are appended to the context window and summarised. The orchestrator decides: if sufficient evidence exists to generate a rewrite, exit the loop. Otherwise, iterate. Loop exits unconditionally at iteration 5.</w:t>
            </w:r>
          </w:p>
        </w:tc>
      </w:tr>
    </w:tbl>
    <w:p>
      <w:pPr>
        <w:spacing w:after="60" w:before="60"/>
      </w:pPr>
      <w:r>
        <w:t xml:space="preserve"/>
      </w:r>
    </w:p>
    <w:p>
      <w:pPr>
        <w:pStyle w:val="Heading3"/>
        <w:spacing w:after="80" w:before="200"/>
      </w:pPr>
      <w:r>
        <w:rPr>
          <w:rFonts w:ascii="Arial" w:cs="Arial" w:eastAsia="Arial" w:hAnsi="Arial"/>
          <w:b/>
          <w:bCs/>
          <w:color w:val="444444"/>
          <w:sz w:val="22"/>
          <w:szCs w:val="22"/>
        </w:rPr>
        <w:t xml:space="preserve">Step 4 — Rewrite generation</w:t>
      </w:r>
    </w:p>
    <w:p>
      <w:pPr>
        <w:spacing w:after="120" w:before="60"/>
      </w:pPr>
      <w:r>
        <w:rPr>
          <w:rFonts w:ascii="Arial" w:cs="Arial" w:eastAsia="Arial" w:hAnsi="Arial"/>
          <w:color w:val="1A1A1A"/>
          <w:sz w:val="22"/>
          <w:szCs w:val="22"/>
        </w:rPr>
        <w:t xml:space="preserve">The rewrite agent is invoked with the full accumulated context and a structured prompt that specifies:</w:t>
      </w:r>
    </w:p>
    <w:p>
      <w:pPr>
        <w:pStyle w:val="ListParagraph"/>
        <w:numPr>
          <w:ilvl w:val="0"/>
          <w:numId w:val="2"/>
        </w:numPr>
        <w:spacing w:after="40" w:before="40"/>
      </w:pPr>
      <w:r>
        <w:rPr>
          <w:rFonts w:ascii="Arial" w:cs="Arial" w:eastAsia="Arial" w:hAnsi="Arial"/>
          <w:color w:val="1A1A1A"/>
          <w:sz w:val="22"/>
          <w:szCs w:val="22"/>
        </w:rPr>
        <w:t xml:space="preserve">Output format: JSON with fields sql_rewrite, explanation, confidence (0–1), rewrite_type, risks</w:t>
      </w:r>
    </w:p>
    <w:p>
      <w:pPr>
        <w:pStyle w:val="ListParagraph"/>
        <w:numPr>
          <w:ilvl w:val="0"/>
          <w:numId w:val="2"/>
        </w:numPr>
        <w:spacing w:after="40" w:before="40"/>
      </w:pPr>
      <w:r>
        <w:rPr>
          <w:rFonts w:ascii="Arial" w:cs="Arial" w:eastAsia="Arial" w:hAnsi="Arial"/>
          <w:color w:val="1A1A1A"/>
          <w:sz w:val="22"/>
          <w:szCs w:val="22"/>
        </w:rPr>
        <w:t xml:space="preserve">Constraints: preserve exact semantics, only use tables and columns present in provided DDL, do not introduce DDL or DML</w:t>
      </w:r>
    </w:p>
    <w:p>
      <w:pPr>
        <w:pStyle w:val="ListParagraph"/>
        <w:numPr>
          <w:ilvl w:val="0"/>
          <w:numId w:val="2"/>
        </w:numPr>
        <w:spacing w:after="40" w:before="40"/>
      </w:pPr>
      <w:r>
        <w:rPr>
          <w:rFonts w:ascii="Arial" w:cs="Arial" w:eastAsia="Arial" w:hAnsi="Arial"/>
          <w:color w:val="1A1A1A"/>
          <w:sz w:val="22"/>
          <w:szCs w:val="22"/>
        </w:rPr>
        <w:t xml:space="preserve">Few-shot examples: 3–5 examples of the same rewrite_type (e.g., 'missing index hint → explicit index hint') drawn from the knowledge base</w:t>
      </w:r>
    </w:p>
    <w:p>
      <w:pPr>
        <w:spacing w:after="60" w:before="60"/>
      </w:pPr>
      <w:r>
        <w:t xml:space="preserve"/>
      </w:r>
    </w:p>
    <w:p>
      <w:pPr>
        <w:pStyle w:val="Heading3"/>
        <w:spacing w:after="80" w:before="200"/>
      </w:pPr>
      <w:r>
        <w:rPr>
          <w:rFonts w:ascii="Arial" w:cs="Arial" w:eastAsia="Arial" w:hAnsi="Arial"/>
          <w:b/>
          <w:bCs/>
          <w:color w:val="444444"/>
          <w:sz w:val="22"/>
          <w:szCs w:val="22"/>
        </w:rPr>
        <w:t xml:space="preserve">Step 5 — Guardrail validation</w:t>
      </w:r>
    </w:p>
    <w:p>
      <w:pPr>
        <w:spacing w:after="120" w:before="60"/>
      </w:pPr>
      <w:r>
        <w:rPr>
          <w:rFonts w:ascii="Arial" w:cs="Arial" w:eastAsia="Arial" w:hAnsi="Arial"/>
          <w:color w:val="1A1A1A"/>
          <w:sz w:val="22"/>
          <w:szCs w:val="22"/>
        </w:rPr>
        <w:t xml:space="preserve">See Section 4 for the complete guardrail design. All four checks must pass before the rewrite is eligible for surfacing.</w:t>
      </w:r>
    </w:p>
    <w:p>
      <w:pPr>
        <w:spacing w:after="60" w:before="60"/>
      </w:pPr>
      <w:r>
        <w:t xml:space="preserve"/>
      </w:r>
    </w:p>
    <w:p>
      <w:pPr>
        <w:pStyle w:val="Heading3"/>
        <w:spacing w:after="80" w:before="200"/>
      </w:pPr>
      <w:r>
        <w:rPr>
          <w:rFonts w:ascii="Arial" w:cs="Arial" w:eastAsia="Arial" w:hAnsi="Arial"/>
          <w:b/>
          <w:bCs/>
          <w:color w:val="444444"/>
          <w:sz w:val="22"/>
          <w:szCs w:val="22"/>
        </w:rPr>
        <w:t xml:space="preserve">Step 6 — Confidence gate and output routing</w:t>
      </w:r>
    </w:p>
    <w:p>
      <w:pPr>
        <w:spacing w:after="120" w:before="60"/>
      </w:pPr>
      <w:r>
        <w:rPr>
          <w:rFonts w:ascii="Arial" w:cs="Arial" w:eastAsia="Arial" w:hAnsi="Arial"/>
          <w:color w:val="1A1A1A"/>
          <w:sz w:val="22"/>
          <w:szCs w:val="22"/>
        </w:rPr>
        <w:t xml:space="preserve">After guardrail validation, a composite confidence score is computed. Routing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Confidence Score</w:t>
            </w:r>
          </w:p>
        </w:tc>
        <w:tc>
          <w:tcPr>
            <w:tcW w:type="dxa" w:w="312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312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0.85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 confidence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Auto-surface to developer via IDE / CI / dashboard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0.65 – 0.84</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Medium confidence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Surface with explicit confidence label and caveats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0.65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 confidence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Route to human review queue; not shown to developer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Any hard block</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Mutation safety fail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Discard immediately; log incident; do not queue</w:t>
            </w:r>
          </w:p>
        </w:tc>
      </w:tr>
    </w:tbl>
    <w:p>
      <w:pPr>
        <w:spacing w:after="60" w:before="60"/>
      </w:pPr>
      <w:r>
        <w:t xml:space="preserve"/>
      </w:r>
    </w:p>
    <w:p>
      <w:r>
        <w:br w:type="page"/>
      </w:r>
    </w:p>
    <w:p>
      <w:pPr>
        <w:pStyle w:val="Heading1"/>
        <w:pBdr>
          <w:bottom w:val="single" w:color="1E4D8C" w:sz="6" w:space="4"/>
        </w:pBdr>
        <w:spacing w:after="180" w:before="360"/>
      </w:pPr>
      <w:r>
        <w:rPr>
          <w:rFonts w:ascii="Arial" w:cs="Arial" w:eastAsia="Arial" w:hAnsi="Arial"/>
          <w:b/>
          <w:bCs/>
          <w:color w:val="1E4D8C"/>
          <w:sz w:val="28"/>
          <w:szCs w:val="28"/>
        </w:rPr>
        <w:t xml:space="preserve">4. Guardrail and Validation Design</w:t>
      </w:r>
    </w:p>
    <w:p>
      <w:pPr>
        <w:spacing w:after="120" w:before="60"/>
      </w:pPr>
      <w:r>
        <w:rPr>
          <w:rFonts w:ascii="Arial" w:cs="Arial" w:eastAsia="Arial" w:hAnsi="Arial"/>
          <w:color w:val="1A1A1A"/>
          <w:sz w:val="22"/>
          <w:szCs w:val="22"/>
        </w:rPr>
        <w:t xml:space="preserve">At Oracle scale, a single incorrect rewrite could propagate to thousands of tenant databases. The four guardrail checks are independent, synchronous, and applied to every candidate rewrite without exception.</w:t>
      </w:r>
    </w:p>
    <w:p>
      <w:pPr>
        <w:spacing w:after="60" w:before="60"/>
      </w:pPr>
      <w:r>
        <w:t xml:space="preserve"/>
      </w:r>
    </w:p>
    <w:p>
      <w:pPr>
        <w:pStyle w:val="Heading2"/>
        <w:spacing w:after="120" w:before="280"/>
      </w:pPr>
      <w:r>
        <w:rPr>
          <w:rFonts w:ascii="Arial" w:cs="Arial" w:eastAsia="Arial" w:hAnsi="Arial"/>
          <w:b/>
          <w:bCs/>
          <w:color w:val="1E4D8C"/>
          <w:sz w:val="24"/>
          <w:szCs w:val="24"/>
        </w:rPr>
        <w:t xml:space="preserve">Check 1 — Semantic Equivalence</w:t>
      </w:r>
    </w:p>
    <w:p>
      <w:pPr>
        <w:spacing w:after="120" w:before="60"/>
      </w:pPr>
      <w:r>
        <w:rPr>
          <w:rFonts w:ascii="Arial" w:cs="Arial" w:eastAsia="Arial" w:hAnsi="Arial"/>
          <w:color w:val="1A1A1A"/>
          <w:sz w:val="22"/>
          <w:szCs w:val="22"/>
        </w:rPr>
        <w:t xml:space="preserve">The candidate rewrite is executed against a shadow read-replica (or dry-run sandbox) alongside the original query on the same sample dataset (up to 10,000 rows). Result sets are compared with a structural diff: column count, column types, row count, and a sample of 100 rows from both. Any discrepancy fails this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single" w:color="CCCCCC" w:sz="1"/>
              <w:left w:val="single" w:color="CCCCCC" w:sz="1"/>
              <w:bottom w:val="single" w:color="CCCCCC" w:sz="1"/>
              <w:right w:val="single" w:color="CCCCC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LIMITATION</w:t>
            </w:r>
          </w:p>
        </w:tc>
        <w:tc>
          <w:tcPr>
            <w:tcW w:type="dxa" w:w="816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tcPr>
          <w:p>
            <w:r>
              <w:rPr>
                <w:rFonts w:ascii="Arial" w:cs="Arial" w:eastAsia="Arial" w:hAnsi="Arial"/>
                <w:color w:val="1A1A1A"/>
                <w:sz w:val="20"/>
                <w:szCs w:val="20"/>
              </w:rPr>
              <w:t xml:space="preserve">Semantic equivalence on samples does not guarantee equivalence on full data for non-deterministic queries (e.g., queries with ORDER BY on non-unique columns, or ROWNUM). These are flagged with a warning, not a hard block.</w:t>
            </w:r>
          </w:p>
        </w:tc>
      </w:tr>
    </w:tbl>
    <w:p>
      <w:pPr>
        <w:spacing w:after="60" w:before="60"/>
      </w:pPr>
      <w:r>
        <w:t xml:space="preserve"/>
      </w:r>
    </w:p>
    <w:p>
      <w:pPr>
        <w:pStyle w:val="Heading2"/>
        <w:spacing w:after="120" w:before="280"/>
      </w:pPr>
      <w:r>
        <w:rPr>
          <w:rFonts w:ascii="Arial" w:cs="Arial" w:eastAsia="Arial" w:hAnsi="Arial"/>
          <w:b/>
          <w:bCs/>
          <w:color w:val="1E4D8C"/>
          <w:sz w:val="24"/>
          <w:szCs w:val="24"/>
        </w:rPr>
        <w:t xml:space="preserve">Check 2 — Schema Binding</w:t>
      </w:r>
    </w:p>
    <w:p>
      <w:pPr>
        <w:spacing w:after="120" w:before="60"/>
      </w:pPr>
      <w:r>
        <w:rPr>
          <w:rFonts w:ascii="Arial" w:cs="Arial" w:eastAsia="Arial" w:hAnsi="Arial"/>
          <w:color w:val="1A1A1A"/>
          <w:sz w:val="22"/>
          <w:szCs w:val="22"/>
        </w:rPr>
        <w:t xml:space="preserve">Every table, column, index, and function referenced in the candidate rewrite is validated against the target database's current data dictionary (ALL_TABLES, ALL_COLUMNS, ALL_INDEXES). The check is performed at the time of validation, not at context assembly, to guard against schema drift between context collection and validation.</w:t>
      </w:r>
    </w:p>
    <w:p>
      <w:pPr>
        <w:spacing w:after="60" w:before="60"/>
      </w:pPr>
      <w:r>
        <w:t xml:space="preserve"/>
      </w:r>
    </w:p>
    <w:p>
      <w:pPr>
        <w:pStyle w:val="Heading2"/>
        <w:spacing w:after="120" w:before="280"/>
      </w:pPr>
      <w:r>
        <w:rPr>
          <w:rFonts w:ascii="Arial" w:cs="Arial" w:eastAsia="Arial" w:hAnsi="Arial"/>
          <w:b/>
          <w:bCs/>
          <w:color w:val="1E4D8C"/>
          <w:sz w:val="24"/>
          <w:szCs w:val="24"/>
        </w:rPr>
        <w:t xml:space="preserve">Check 3 — Plan Regression</w:t>
      </w:r>
    </w:p>
    <w:p>
      <w:pPr>
        <w:spacing w:after="120" w:before="60"/>
      </w:pPr>
      <w:r>
        <w:rPr>
          <w:rFonts w:ascii="Arial" w:cs="Arial" w:eastAsia="Arial" w:hAnsi="Arial"/>
          <w:color w:val="1A1A1A"/>
          <w:sz w:val="22"/>
          <w:szCs w:val="22"/>
        </w:rPr>
        <w:t xml:space="preserve">An EXPLAIN PLAN is run on the candidate rewrite. The estimated cost must not exceed the original query's cost by more than 15% (configurable per tenant). This guards against rewrites that are semantically correct but use a worse execution path due to missing statistics or different parameter bindings.</w:t>
      </w:r>
    </w:p>
    <w:p>
      <w:pPr>
        <w:spacing w:after="60" w:before="60"/>
      </w:pPr>
      <w:r>
        <w:t xml:space="preserve"/>
      </w:r>
    </w:p>
    <w:p>
      <w:pPr>
        <w:pStyle w:val="Heading2"/>
        <w:spacing w:after="120" w:before="280"/>
      </w:pPr>
      <w:r>
        <w:rPr>
          <w:rFonts w:ascii="Arial" w:cs="Arial" w:eastAsia="Arial" w:hAnsi="Arial"/>
          <w:b/>
          <w:bCs/>
          <w:color w:val="1E4D8C"/>
          <w:sz w:val="24"/>
          <w:szCs w:val="24"/>
        </w:rPr>
        <w:t xml:space="preserve">Check 4 — Mutation Safety (Hard Block)</w:t>
      </w:r>
    </w:p>
    <w:p>
      <w:pPr>
        <w:spacing w:after="120" w:before="60"/>
      </w:pPr>
      <w:r>
        <w:rPr>
          <w:rFonts w:ascii="Arial" w:cs="Arial" w:eastAsia="Arial" w:hAnsi="Arial"/>
          <w:color w:val="1A1A1A"/>
          <w:sz w:val="22"/>
          <w:szCs w:val="22"/>
        </w:rPr>
        <w:t xml:space="preserve">The candidate SQL text is parsed with a SQL grammar checker. Any DDL statement (CREATE, DROP, ALTER, TRUNCATE) or DML statement (INSERT, UPDATE, DELETE, MERGE) immediately triggers a hard block. The rewrite is discarded, an incident is logged, and the LLM output that produced it is flagged for prompt audit. This check cannot be overridden by confidence score or DBA approval.</w:t>
      </w:r>
    </w:p>
    <w:p>
      <w:pPr>
        <w:spacing w:after="60" w:before="60"/>
      </w:pPr>
      <w:r>
        <w:t xml:space="preserve"/>
      </w:r>
    </w:p>
    <w:p>
      <w:pPr>
        <w:pStyle w:val="Heading2"/>
        <w:spacing w:after="120" w:before="280"/>
      </w:pPr>
      <w:r>
        <w:rPr>
          <w:rFonts w:ascii="Arial" w:cs="Arial" w:eastAsia="Arial" w:hAnsi="Arial"/>
          <w:b/>
          <w:bCs/>
          <w:color w:val="1E4D8C"/>
          <w:sz w:val="24"/>
          <w:szCs w:val="24"/>
        </w:rPr>
        <w:t xml:space="preserve">4.5 Composite Confidence Scoring</w:t>
      </w:r>
    </w:p>
    <w:p>
      <w:pPr>
        <w:spacing w:after="120" w:before="60"/>
      </w:pPr>
      <w:r>
        <w:rPr>
          <w:rFonts w:ascii="Arial" w:cs="Arial" w:eastAsia="Arial" w:hAnsi="Arial"/>
          <w:color w:val="1A1A1A"/>
          <w:sz w:val="22"/>
          <w:szCs w:val="22"/>
        </w:rPr>
        <w:t xml:space="preserve">The composite confidence score is a weighted combination 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312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312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LLM self-certainty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0.35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LLM-reported confidence in the rewrite output JSON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Semantic equiv. result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0.30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1.0 if full match, partial credit for near-miss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Plan regression margin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0.20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Scaled by how much better the new plan is vs. original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Knowledge base similarity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0.15</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Cosine similarity of the rewrite to accepted past rewrites of same type</w:t>
            </w:r>
          </w:p>
        </w:tc>
      </w:tr>
    </w:tbl>
    <w:p>
      <w:pPr>
        <w:spacing w:after="60" w:before="60"/>
      </w:pPr>
      <w:r>
        <w:t xml:space="preserve"/>
      </w:r>
    </w:p>
    <w:p>
      <w:r>
        <w:br w:type="page"/>
      </w:r>
    </w:p>
    <w:p>
      <w:pPr>
        <w:pStyle w:val="Heading1"/>
        <w:pBdr>
          <w:bottom w:val="single" w:color="1E4D8C" w:sz="6" w:space="4"/>
        </w:pBdr>
        <w:spacing w:after="180" w:before="360"/>
      </w:pPr>
      <w:r>
        <w:rPr>
          <w:rFonts w:ascii="Arial" w:cs="Arial" w:eastAsia="Arial" w:hAnsi="Arial"/>
          <w:b/>
          <w:bCs/>
          <w:color w:val="1E4D8C"/>
          <w:sz w:val="28"/>
          <w:szCs w:val="28"/>
        </w:rPr>
        <w:t xml:space="preserve">5. Evaluation and Continuous Improvement</w:t>
      </w:r>
    </w:p>
    <w:p>
      <w:pPr>
        <w:spacing w:after="120" w:before="60"/>
      </w:pPr>
      <w:r>
        <w:rPr>
          <w:rFonts w:ascii="Arial" w:cs="Arial" w:eastAsia="Arial" w:hAnsi="Arial"/>
          <w:color w:val="1A1A1A"/>
          <w:sz w:val="22"/>
          <w:szCs w:val="22"/>
        </w:rPr>
        <w:t xml:space="preserve">The evaluation harness runs asynchronously and continuously. It is the gating mechanism for all model promotions.</w:t>
      </w:r>
    </w:p>
    <w:p>
      <w:pPr>
        <w:spacing w:after="60" w:before="60"/>
      </w:pPr>
      <w:r>
        <w:t xml:space="preserve"/>
      </w:r>
    </w:p>
    <w:p>
      <w:pPr>
        <w:pStyle w:val="Heading2"/>
        <w:spacing w:after="120" w:before="280"/>
      </w:pPr>
      <w:r>
        <w:rPr>
          <w:rFonts w:ascii="Arial" w:cs="Arial" w:eastAsia="Arial" w:hAnsi="Arial"/>
          <w:b/>
          <w:bCs/>
          <w:color w:val="1E4D8C"/>
          <w:sz w:val="24"/>
          <w:szCs w:val="24"/>
        </w:rPr>
        <w:t xml:space="preserve">5.1 Golden Evaluation Set</w:t>
      </w:r>
    </w:p>
    <w:p>
      <w:pPr>
        <w:spacing w:after="120" w:before="60"/>
      </w:pPr>
      <w:r>
        <w:rPr>
          <w:rFonts w:ascii="Arial" w:cs="Arial" w:eastAsia="Arial" w:hAnsi="Arial"/>
          <w:color w:val="1A1A1A"/>
          <w:sz w:val="22"/>
          <w:szCs w:val="22"/>
        </w:rPr>
        <w:t xml:space="preserve">A curated dataset of approximately 2,000 slow query + ideal rewrite pairs, manually labeled by DBAs and SQL experts. Covers 12 rewrite categories (missing index, full scan, N+1 pattern, Cartesian join, etc.) with at least 100 examples per category. Updated quarterly with new labels from the human review queue.</w:t>
      </w:r>
    </w:p>
    <w:p>
      <w:pPr>
        <w:spacing w:after="60" w:before="60"/>
      </w:pPr>
      <w:r>
        <w:t xml:space="preserve"/>
      </w:r>
    </w:p>
    <w:p>
      <w:pPr>
        <w:pStyle w:val="Heading2"/>
        <w:spacing w:after="120" w:before="280"/>
      </w:pPr>
      <w:r>
        <w:rPr>
          <w:rFonts w:ascii="Arial" w:cs="Arial" w:eastAsia="Arial" w:hAnsi="Arial"/>
          <w:b/>
          <w:bCs/>
          <w:color w:val="1E4D8C"/>
          <w:sz w:val="24"/>
          <w:szCs w:val="24"/>
        </w:rPr>
        <w:t xml:space="preserve">5.2 Evaluation Metrics and SLOs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SLO Target</w:t>
            </w:r>
          </w:p>
        </w:tc>
        <w:tc>
          <w:tcPr>
            <w:tcW w:type="dxa" w:w="312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Rewrite precision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&gt; 90%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Fraction of surfaced rewrites that DBAs accept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False positive rate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&lt; 5%</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Fraction of surfaced rewrites that are semantically incorrect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Plan improvement rate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&gt; 70%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Fraction of accepted rewrites that improve P99 runtime in prod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P99 latency (full pipeline)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&lt; 30s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End-to-end from event ingestion to suggestion surfaced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Human queue rate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25%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Fraction of processed queries routed to human review</w:t>
            </w:r>
          </w:p>
        </w:tc>
      </w:tr>
    </w:tbl>
    <w:p>
      <w:pPr>
        <w:spacing w:after="60" w:before="60"/>
      </w:pPr>
      <w:r>
        <w:t xml:space="preserve"/>
      </w:r>
    </w:p>
    <w:p>
      <w:pPr>
        <w:pStyle w:val="Heading2"/>
        <w:spacing w:after="120" w:before="280"/>
      </w:pPr>
      <w:r>
        <w:rPr>
          <w:rFonts w:ascii="Arial" w:cs="Arial" w:eastAsia="Arial" w:hAnsi="Arial"/>
          <w:b/>
          <w:bCs/>
          <w:color w:val="1E4D8C"/>
          <w:sz w:val="24"/>
          <w:szCs w:val="24"/>
        </w:rPr>
        <w:t xml:space="preserve">5.3 Shadow Scoring</w:t>
      </w:r>
    </w:p>
    <w:p>
      <w:pPr>
        <w:spacing w:after="120" w:before="60"/>
      </w:pPr>
      <w:r>
        <w:rPr>
          <w:rFonts w:ascii="Arial" w:cs="Arial" w:eastAsia="Arial" w:hAnsi="Arial"/>
          <w:color w:val="1A1A1A"/>
          <w:sz w:val="22"/>
          <w:szCs w:val="22"/>
        </w:rPr>
        <w:t xml:space="preserve">New model versions are deployed in shadow mode: they process production traffic and generate candidate rewrites, but these are never surfaced to users. Shadow outputs are scored against the golden set and compared to the current production model. A new version can only be promoted if it improves precision and plan improvement rate without degrading false positive rate.</w:t>
      </w:r>
    </w:p>
    <w:p>
      <w:pPr>
        <w:spacing w:after="60" w:before="60"/>
      </w:pPr>
      <w:r>
        <w:t xml:space="preserve"/>
      </w:r>
    </w:p>
    <w:p>
      <w:pPr>
        <w:pStyle w:val="Heading2"/>
        <w:spacing w:after="120" w:before="280"/>
      </w:pPr>
      <w:r>
        <w:rPr>
          <w:rFonts w:ascii="Arial" w:cs="Arial" w:eastAsia="Arial" w:hAnsi="Arial"/>
          <w:b/>
          <w:bCs/>
          <w:color w:val="1E4D8C"/>
          <w:sz w:val="24"/>
          <w:szCs w:val="24"/>
        </w:rPr>
        <w:t xml:space="preserve">5.4 Drift Detection and Automatic Rollback</w:t>
      </w:r>
    </w:p>
    <w:p>
      <w:pPr>
        <w:spacing w:after="120" w:before="60"/>
      </w:pPr>
      <w:r>
        <w:rPr>
          <w:rFonts w:ascii="Arial" w:cs="Arial" w:eastAsia="Arial" w:hAnsi="Arial"/>
          <w:color w:val="1A1A1A"/>
          <w:sz w:val="22"/>
          <w:szCs w:val="22"/>
        </w:rPr>
        <w:t xml:space="preserve">Production metrics are monitored with a 24-hour rolling window. If precision drops below 85% or false positive rate exceeds 8% in any 24-hour window, the system automatically rolls back to the previous model version and pages the on-call ML engineer. A new model version cannot be promoted for 48 hours following a rollback.</w:t>
      </w:r>
    </w:p>
    <w:p>
      <w:pPr>
        <w:spacing w:after="60" w:before="60"/>
      </w:pPr>
      <w:r>
        <w:t xml:space="preserve"/>
      </w:r>
    </w:p>
    <w:p>
      <w:pPr>
        <w:pStyle w:val="Heading2"/>
        <w:spacing w:after="120" w:before="280"/>
      </w:pPr>
      <w:r>
        <w:rPr>
          <w:rFonts w:ascii="Arial" w:cs="Arial" w:eastAsia="Arial" w:hAnsi="Arial"/>
          <w:b/>
          <w:bCs/>
          <w:color w:val="1E4D8C"/>
          <w:sz w:val="24"/>
          <w:szCs w:val="24"/>
        </w:rPr>
        <w:t xml:space="preserve">5.5 Feedback Loop and Fine-Tuning</w:t>
      </w:r>
    </w:p>
    <w:p>
      <w:pPr>
        <w:spacing w:after="120" w:before="60"/>
      </w:pPr>
      <w:r>
        <w:rPr>
          <w:rFonts w:ascii="Arial" w:cs="Arial" w:eastAsia="Arial" w:hAnsi="Arial"/>
          <w:color w:val="1A1A1A"/>
          <w:sz w:val="22"/>
          <w:szCs w:val="22"/>
        </w:rPr>
        <w:t xml:space="preserve">Three signal types are collected for the fine-tuning pipeline:</w:t>
      </w:r>
    </w:p>
    <w:p>
      <w:pPr>
        <w:pStyle w:val="ListParagraph"/>
        <w:numPr>
          <w:ilvl w:val="0"/>
          <w:numId w:val="2"/>
        </w:numPr>
        <w:spacing w:after="40" w:before="40"/>
      </w:pPr>
      <w:r>
        <w:rPr>
          <w:rFonts w:ascii="Arial" w:cs="Arial" w:eastAsia="Arial" w:hAnsi="Arial"/>
          <w:color w:val="1A1A1A"/>
          <w:sz w:val="22"/>
          <w:szCs w:val="22"/>
        </w:rPr>
        <w:t xml:space="preserve">Explicit: DBA accept/reject actions in the OCI Console review queue or IDE plugin</w:t>
      </w:r>
    </w:p>
    <w:p>
      <w:pPr>
        <w:pStyle w:val="ListParagraph"/>
        <w:numPr>
          <w:ilvl w:val="0"/>
          <w:numId w:val="2"/>
        </w:numPr>
        <w:spacing w:after="40" w:before="40"/>
      </w:pPr>
      <w:r>
        <w:rPr>
          <w:rFonts w:ascii="Arial" w:cs="Arial" w:eastAsia="Arial" w:hAnsi="Arial"/>
          <w:color w:val="1A1A1A"/>
          <w:sz w:val="22"/>
          <w:szCs w:val="22"/>
        </w:rPr>
        <w:t xml:space="preserve">Implicit: Post-deployment latency delta (comparing P99 runtime 7 days before vs. after applying a rewrite)</w:t>
      </w:r>
    </w:p>
    <w:p>
      <w:pPr>
        <w:pStyle w:val="ListParagraph"/>
        <w:numPr>
          <w:ilvl w:val="0"/>
          <w:numId w:val="2"/>
        </w:numPr>
        <w:spacing w:after="40" w:before="40"/>
      </w:pPr>
      <w:r>
        <w:rPr>
          <w:rFonts w:ascii="Arial" w:cs="Arial" w:eastAsia="Arial" w:hAnsi="Arial"/>
          <w:color w:val="1A1A1A"/>
          <w:sz w:val="22"/>
          <w:szCs w:val="22"/>
        </w:rPr>
        <w:t xml:space="preserve">CI gate blocks: When a suggested rewrite triggers a CI block, this is treated as a negative label</w:t>
      </w:r>
    </w:p>
    <w:p>
      <w:pPr>
        <w:spacing w:after="0" w:before="0"/>
      </w:pPr>
      <w:r>
        <w:t xml:space="preserve"/>
      </w:r>
    </w:p>
    <w:p>
      <w:pPr>
        <w:spacing w:after="120" w:before="60"/>
      </w:pPr>
      <w:r>
        <w:rPr>
          <w:rFonts w:ascii="Arial" w:cs="Arial" w:eastAsia="Arial" w:hAnsi="Arial"/>
          <w:color w:val="1A1A1A"/>
          <w:sz w:val="22"/>
          <w:szCs w:val="22"/>
        </w:rPr>
        <w:t xml:space="preserve">These signals are aggregated into a DPO (Direct Preference Optimization) preference dataset: pairs of (accepted rewrite, rejected rewrite) for the same input query. Fine-tuning runs on a weekly cadence using LoRA on the base model. The resulting checkpoint must pass the full evaluation harness before it can replace the production model.</w:t>
      </w:r>
    </w:p>
    <w:p>
      <w:pPr>
        <w:spacing w:after="60" w:before="60"/>
      </w:pPr>
      <w:r>
        <w:t xml:space="preserve"/>
      </w:r>
    </w:p>
    <w:p>
      <w:r>
        <w:br w:type="page"/>
      </w:r>
    </w:p>
    <w:p>
      <w:pPr>
        <w:pStyle w:val="Heading1"/>
        <w:pBdr>
          <w:bottom w:val="single" w:color="1E4D8C" w:sz="6" w:space="4"/>
        </w:pBdr>
        <w:spacing w:after="180" w:before="360"/>
      </w:pPr>
      <w:r>
        <w:rPr>
          <w:rFonts w:ascii="Arial" w:cs="Arial" w:eastAsia="Arial" w:hAnsi="Arial"/>
          <w:b/>
          <w:bCs/>
          <w:color w:val="1E4D8C"/>
          <w:sz w:val="28"/>
          <w:szCs w:val="28"/>
        </w:rPr>
        <w:t xml:space="preserve">6. Scalability and Reliability Design</w:t>
      </w:r>
    </w:p>
    <w:p>
      <w:pPr>
        <w:spacing w:after="60" w:before="60"/>
      </w:pPr>
      <w:r>
        <w:t xml:space="preserve"/>
      </w:r>
    </w:p>
    <w:p>
      <w:pPr>
        <w:pStyle w:val="Heading2"/>
        <w:spacing w:after="120" w:before="280"/>
      </w:pPr>
      <w:r>
        <w:rPr>
          <w:rFonts w:ascii="Arial" w:cs="Arial" w:eastAsia="Arial" w:hAnsi="Arial"/>
          <w:b/>
          <w:bCs/>
          <w:color w:val="1E4D8C"/>
          <w:sz w:val="24"/>
          <w:szCs w:val="24"/>
        </w:rPr>
        <w:t xml:space="preserve">6.1 Scale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12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12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Database instances monitored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OCI + Exadata + on-prem</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Slow query events/day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~50M</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After pre-filter, ~2M reach the LLM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LLM invocations/day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After dedup and cache, ~500K unique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P99 pre-filter latency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&lt; 100ms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Rule-based, no LLM involved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P99 full triage latency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30s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Including LLM + guardrails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Rewrite cache hit rate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~60%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Same plan hash, cached accepted rewrite</w:t>
            </w:r>
          </w:p>
        </w:tc>
      </w:tr>
    </w:tbl>
    <w:p>
      <w:pPr>
        <w:spacing w:after="60" w:before="60"/>
      </w:pPr>
      <w:r>
        <w:t xml:space="preserve"/>
      </w:r>
    </w:p>
    <w:p>
      <w:pPr>
        <w:pStyle w:val="Heading2"/>
        <w:spacing w:after="120" w:before="280"/>
      </w:pPr>
      <w:r>
        <w:rPr>
          <w:rFonts w:ascii="Arial" w:cs="Arial" w:eastAsia="Arial" w:hAnsi="Arial"/>
          <w:b/>
          <w:bCs/>
          <w:color w:val="1E4D8C"/>
          <w:sz w:val="24"/>
          <w:szCs w:val="24"/>
        </w:rPr>
        <w:t xml:space="preserve">6.2 Horizontal Scaling Strategy</w:t>
      </w:r>
    </w:p>
    <w:p>
      <w:pPr>
        <w:pStyle w:val="ListParagraph"/>
        <w:numPr>
          <w:ilvl w:val="0"/>
          <w:numId w:val="2"/>
        </w:numPr>
        <w:spacing w:after="40" w:before="40"/>
      </w:pPr>
      <w:r>
        <w:rPr>
          <w:rFonts w:ascii="Arial" w:cs="Arial" w:eastAsia="Arial" w:hAnsi="Arial"/>
          <w:color w:val="1A1A1A"/>
          <w:sz w:val="22"/>
          <w:szCs w:val="22"/>
        </w:rPr>
        <w:t xml:space="preserve">Ingestion plane: Kafka partitioned by db_id ensures ordered processing per database; consumer groups scale independently</w:t>
      </w:r>
    </w:p>
    <w:p>
      <w:pPr>
        <w:pStyle w:val="ListParagraph"/>
        <w:numPr>
          <w:ilvl w:val="0"/>
          <w:numId w:val="2"/>
        </w:numPr>
        <w:spacing w:after="40" w:before="40"/>
      </w:pPr>
      <w:r>
        <w:rPr>
          <w:rFonts w:ascii="Arial" w:cs="Arial" w:eastAsia="Arial" w:hAnsi="Arial"/>
          <w:color w:val="1A1A1A"/>
          <w:sz w:val="22"/>
          <w:szCs w:val="22"/>
        </w:rPr>
        <w:t xml:space="preserve">Agent orchestrator: Stateless worker pool behind a job queue (OCI Queue Service); auto-scales on queue depth</w:t>
      </w:r>
    </w:p>
    <w:p>
      <w:pPr>
        <w:pStyle w:val="ListParagraph"/>
        <w:numPr>
          <w:ilvl w:val="0"/>
          <w:numId w:val="2"/>
        </w:numPr>
        <w:spacing w:after="40" w:before="40"/>
      </w:pPr>
      <w:r>
        <w:rPr>
          <w:rFonts w:ascii="Arial" w:cs="Arial" w:eastAsia="Arial" w:hAnsi="Arial"/>
          <w:color w:val="1A1A1A"/>
          <w:sz w:val="22"/>
          <w:szCs w:val="22"/>
        </w:rPr>
        <w:t xml:space="preserve">LLM calls: Batched where possible; separate pools for interactive (IDE/CI) vs. batch (background triage) traffic with different latency SLAs</w:t>
      </w:r>
    </w:p>
    <w:p>
      <w:pPr>
        <w:pStyle w:val="ListParagraph"/>
        <w:numPr>
          <w:ilvl w:val="0"/>
          <w:numId w:val="2"/>
        </w:numPr>
        <w:spacing w:after="40" w:before="40"/>
      </w:pPr>
      <w:r>
        <w:rPr>
          <w:rFonts w:ascii="Arial" w:cs="Arial" w:eastAsia="Arial" w:hAnsi="Arial"/>
          <w:color w:val="1A1A1A"/>
          <w:sz w:val="22"/>
          <w:szCs w:val="22"/>
        </w:rPr>
        <w:t xml:space="preserve">Guardrail validation: Stateless microservice; horizontally scaled; shadow DB read replicas provisioned per region</w:t>
      </w:r>
    </w:p>
    <w:p>
      <w:pPr>
        <w:pStyle w:val="ListParagraph"/>
        <w:numPr>
          <w:ilvl w:val="0"/>
          <w:numId w:val="2"/>
        </w:numPr>
        <w:spacing w:after="40" w:before="40"/>
      </w:pPr>
      <w:r>
        <w:rPr>
          <w:rFonts w:ascii="Arial" w:cs="Arial" w:eastAsia="Arial" w:hAnsi="Arial"/>
          <w:color w:val="1A1A1A"/>
          <w:sz w:val="22"/>
          <w:szCs w:val="22"/>
        </w:rPr>
        <w:t xml:space="preserve">Knowledge base: Read replicas for vector similarity search; write path is async and eventually consistent</w:t>
      </w:r>
    </w:p>
    <w:p>
      <w:pPr>
        <w:spacing w:after="60" w:before="60"/>
      </w:pPr>
      <w:r>
        <w:t xml:space="preserve"/>
      </w:r>
    </w:p>
    <w:p>
      <w:pPr>
        <w:pStyle w:val="Heading2"/>
        <w:spacing w:after="120" w:before="280"/>
      </w:pPr>
      <w:r>
        <w:rPr>
          <w:rFonts w:ascii="Arial" w:cs="Arial" w:eastAsia="Arial" w:hAnsi="Arial"/>
          <w:b/>
          <w:bCs/>
          <w:color w:val="1E4D8C"/>
          <w:sz w:val="24"/>
          <w:szCs w:val="24"/>
        </w:rPr>
        <w:t xml:space="preserve">6.3 Fault Tolerance</w:t>
      </w:r>
    </w:p>
    <w:p>
      <w:pPr>
        <w:pStyle w:val="ListParagraph"/>
        <w:numPr>
          <w:ilvl w:val="0"/>
          <w:numId w:val="2"/>
        </w:numPr>
        <w:spacing w:after="40" w:before="40"/>
      </w:pPr>
      <w:r>
        <w:rPr>
          <w:rFonts w:ascii="Arial" w:cs="Arial" w:eastAsia="Arial" w:hAnsi="Arial"/>
          <w:color w:val="1A1A1A"/>
          <w:sz w:val="22"/>
          <w:szCs w:val="22"/>
        </w:rPr>
        <w:t xml:space="preserve">LLM unavailability: Circuit breaker with exponential backoff; fallback to rule-based heuristic suggestions with explicit 'AI unavailable' label</w:t>
      </w:r>
    </w:p>
    <w:p>
      <w:pPr>
        <w:pStyle w:val="ListParagraph"/>
        <w:numPr>
          <w:ilvl w:val="0"/>
          <w:numId w:val="2"/>
        </w:numPr>
        <w:spacing w:after="40" w:before="40"/>
      </w:pPr>
      <w:r>
        <w:rPr>
          <w:rFonts w:ascii="Arial" w:cs="Arial" w:eastAsia="Arial" w:hAnsi="Arial"/>
          <w:color w:val="1A1A1A"/>
          <w:sz w:val="22"/>
          <w:szCs w:val="22"/>
        </w:rPr>
        <w:t xml:space="preserve">Shadow DB unavailability: Semantic equivalence check is demoted to 'best effort'; confidence score is penalized by 0.15 points</w:t>
      </w:r>
    </w:p>
    <w:p>
      <w:pPr>
        <w:pStyle w:val="ListParagraph"/>
        <w:numPr>
          <w:ilvl w:val="0"/>
          <w:numId w:val="2"/>
        </w:numPr>
        <w:spacing w:after="40" w:before="40"/>
      </w:pPr>
      <w:r>
        <w:rPr>
          <w:rFonts w:ascii="Arial" w:cs="Arial" w:eastAsia="Arial" w:hAnsi="Arial"/>
          <w:color w:val="1A1A1A"/>
          <w:sz w:val="22"/>
          <w:szCs w:val="22"/>
        </w:rPr>
        <w:t xml:space="preserve">Guardrail service unavailability: Hard block on all rewrites until service recovers; no rewrites are surfaced in degraded state</w:t>
      </w:r>
    </w:p>
    <w:p>
      <w:pPr>
        <w:pStyle w:val="ListParagraph"/>
        <w:numPr>
          <w:ilvl w:val="0"/>
          <w:numId w:val="2"/>
        </w:numPr>
        <w:spacing w:after="40" w:before="40"/>
      </w:pPr>
      <w:r>
        <w:rPr>
          <w:rFonts w:ascii="Arial" w:cs="Arial" w:eastAsia="Arial" w:hAnsi="Arial"/>
          <w:color w:val="1A1A1A"/>
          <w:sz w:val="22"/>
          <w:szCs w:val="22"/>
        </w:rPr>
        <w:t xml:space="preserve">Message loss in streaming: At-least-once delivery with idempotency keys; dedup window prevents double-processing</w:t>
      </w:r>
    </w:p>
    <w:p>
      <w:pPr>
        <w:spacing w:after="60" w:before="60"/>
      </w:pPr>
      <w:r>
        <w:t xml:space="preserve"/>
      </w:r>
    </w:p>
    <w:p>
      <w:pPr>
        <w:pStyle w:val="Heading1"/>
        <w:pBdr>
          <w:bottom w:val="single" w:color="1E4D8C" w:sz="6" w:space="4"/>
        </w:pBdr>
        <w:spacing w:after="180" w:before="360"/>
      </w:pPr>
      <w:r>
        <w:rPr>
          <w:rFonts w:ascii="Arial" w:cs="Arial" w:eastAsia="Arial" w:hAnsi="Arial"/>
          <w:b/>
          <w:bCs/>
          <w:color w:val="1E4D8C"/>
          <w:sz w:val="28"/>
          <w:szCs w:val="28"/>
        </w:rPr>
        <w:t xml:space="preserve">7. Security and Compliance</w:t>
      </w:r>
    </w:p>
    <w:p>
      <w:pPr>
        <w:pStyle w:val="ListParagraph"/>
        <w:numPr>
          <w:ilvl w:val="0"/>
          <w:numId w:val="2"/>
        </w:numPr>
        <w:spacing w:after="40" w:before="40"/>
      </w:pPr>
      <w:r>
        <w:rPr>
          <w:rFonts w:ascii="Arial" w:cs="Arial" w:eastAsia="Arial" w:hAnsi="Arial"/>
          <w:color w:val="1A1A1A"/>
          <w:sz w:val="22"/>
          <w:szCs w:val="22"/>
        </w:rPr>
        <w:t xml:space="preserve">SQL text and query plans are never stored beyond 30 days; post-processing, only anonymized plan hashes and rewrite metadata are retained</w:t>
      </w:r>
    </w:p>
    <w:p>
      <w:pPr>
        <w:pStyle w:val="ListParagraph"/>
        <w:numPr>
          <w:ilvl w:val="0"/>
          <w:numId w:val="2"/>
        </w:numPr>
        <w:spacing w:after="40" w:before="40"/>
      </w:pPr>
      <w:r>
        <w:rPr>
          <w:rFonts w:ascii="Arial" w:cs="Arial" w:eastAsia="Arial" w:hAnsi="Arial"/>
          <w:color w:val="1A1A1A"/>
          <w:sz w:val="22"/>
          <w:szCs w:val="22"/>
        </w:rPr>
        <w:t xml:space="preserve">Tenant isolation: every LLM invocation is scoped to a single tenant; cross-tenant context contamination is prevented by strict request scoping</w:t>
      </w:r>
    </w:p>
    <w:p>
      <w:pPr>
        <w:pStyle w:val="ListParagraph"/>
        <w:numPr>
          <w:ilvl w:val="0"/>
          <w:numId w:val="2"/>
        </w:numPr>
        <w:spacing w:after="40" w:before="40"/>
      </w:pPr>
      <w:r>
        <w:rPr>
          <w:rFonts w:ascii="Arial" w:cs="Arial" w:eastAsia="Arial" w:hAnsi="Arial"/>
          <w:color w:val="1A1A1A"/>
          <w:sz w:val="22"/>
          <w:szCs w:val="22"/>
        </w:rPr>
        <w:t xml:space="preserve">No execution of agent-generated SQL against production databases: rewrites are suggestions only; the shadow DB used for semantic equivalence is a read-only replica</w:t>
      </w:r>
    </w:p>
    <w:p>
      <w:pPr>
        <w:pStyle w:val="ListParagraph"/>
        <w:numPr>
          <w:ilvl w:val="0"/>
          <w:numId w:val="2"/>
        </w:numPr>
        <w:spacing w:after="40" w:before="40"/>
      </w:pPr>
      <w:r>
        <w:rPr>
          <w:rFonts w:ascii="Arial" w:cs="Arial" w:eastAsia="Arial" w:hAnsi="Arial"/>
          <w:color w:val="1A1A1A"/>
          <w:sz w:val="22"/>
          <w:szCs w:val="22"/>
        </w:rPr>
        <w:t xml:space="preserve">All agent decisions are written to an immutable audit log (OCI Object Storage with WORM policy) for regulatory compliance</w:t>
      </w:r>
    </w:p>
    <w:p>
      <w:pPr>
        <w:pStyle w:val="ListParagraph"/>
        <w:numPr>
          <w:ilvl w:val="0"/>
          <w:numId w:val="2"/>
        </w:numPr>
        <w:spacing w:after="40" w:before="40"/>
      </w:pPr>
      <w:r>
        <w:rPr>
          <w:rFonts w:ascii="Arial" w:cs="Arial" w:eastAsia="Arial" w:hAnsi="Arial"/>
          <w:color w:val="1A1A1A"/>
          <w:sz w:val="22"/>
          <w:szCs w:val="22"/>
        </w:rPr>
        <w:t xml:space="preserve">API keys for LLM providers are managed via OCI Vault; rotated quarterly</w:t>
      </w:r>
    </w:p>
    <w:p>
      <w:pPr>
        <w:pStyle w:val="ListParagraph"/>
        <w:numPr>
          <w:ilvl w:val="0"/>
          <w:numId w:val="2"/>
        </w:numPr>
        <w:spacing w:after="40" w:before="40"/>
      </w:pPr>
      <w:r>
        <w:rPr>
          <w:rFonts w:ascii="Arial" w:cs="Arial" w:eastAsia="Arial" w:hAnsi="Arial"/>
          <w:color w:val="1A1A1A"/>
          <w:sz w:val="22"/>
          <w:szCs w:val="22"/>
        </w:rPr>
        <w:t xml:space="preserve">GDPR / data residency: telemetry processing is region-local; no cross-region data transfer without explicit tenant opt-in</w:t>
      </w:r>
    </w:p>
    <w:p>
      <w:pPr>
        <w:spacing w:after="60" w:before="60"/>
      </w:pPr>
      <w:r>
        <w:t xml:space="preserve"/>
      </w:r>
    </w:p>
    <w:p>
      <w:pPr>
        <w:pStyle w:val="Heading1"/>
        <w:pBdr>
          <w:bottom w:val="single" w:color="1E4D8C" w:sz="6" w:space="4"/>
        </w:pBdr>
        <w:spacing w:after="180" w:before="360"/>
      </w:pPr>
      <w:r>
        <w:rPr>
          <w:rFonts w:ascii="Arial" w:cs="Arial" w:eastAsia="Arial" w:hAnsi="Arial"/>
          <w:b/>
          <w:bCs/>
          <w:color w:val="1E4D8C"/>
          <w:sz w:val="28"/>
          <w:szCs w:val="28"/>
        </w:rPr>
        <w:t xml:space="preserve">8. Open Questions and Future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468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Multi-statement rewrite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Agent currently rewrites single SQL statements. Stored procedure and multi-statement batch rewrite requires a different parsing and context strategy.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Real-time plan change detection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Current pipeline is event-driven on slow query logs. Proactive detection of plan regressions (before they become slow) would require continuous plan monitoring.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LLM provider portability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Current design is provider-agnostic at the interface level, but fine-tuning artifacts are model-specific. A migration strategy is needed if the base model changes.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Cross-tenant learning</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High-value signal exists in patterns that affect many tenants. A federated or anonymized learning approach could improve the knowledge base without compromising tenant isolation.</w:t>
            </w:r>
          </w:p>
        </w:tc>
      </w:tr>
    </w:tbl>
    <w:p>
      <w:pPr>
        <w:spacing w:after="60" w:before="60"/>
      </w:pPr>
      <w:r>
        <w:t xml:space="preserve"/>
      </w:r>
    </w:p>
    <w:p>
      <w:pPr>
        <w:spacing w:after="0" w:before="400"/>
        <w:jc w:val="center"/>
      </w:pPr>
      <w:r>
        <w:rPr>
          <w:rFonts w:ascii="Arial" w:cs="Arial" w:eastAsia="Arial" w:hAnsi="Arial"/>
          <w:color w:val="666666"/>
          <w:sz w:val="20"/>
          <w:szCs w:val="20"/>
        </w:rPr>
        <w:t xml:space="preserve">— End of Document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2"/>
      </w:pBdr>
      <w:tabs>
        <w:tab w:val="right" w:pos="9360"/>
      </w:tabs>
      <w:spacing w:before="80"/>
    </w:pPr>
    <w:r>
      <w:rPr>
        <w:rFonts w:ascii="Arial" w:cs="Arial" w:eastAsia="Arial" w:hAnsi="Arial"/>
        <w:color w:val="666666"/>
        <w:sz w:val="16"/>
        <w:szCs w:val="16"/>
      </w:rPr>
      <w:t xml:space="preserve">Confidential — Internal Design Document</w:t>
    </w:r>
    <w:r>
      <w:rPr>
        <w:rFonts w:ascii="Arial" w:cs="Arial" w:eastAsia="Arial" w:hAnsi="Arial"/>
        <w:sz w:val="16"/>
        <w:szCs w:val="16"/>
      </w:rPr>
      <w:tab/>
    </w:r>
    <w:r>
      <w:rPr>
        <w:rFonts w:ascii="Arial" w:cs="Arial" w:eastAsia="Arial" w:hAnsi="Arial"/>
        <w:sz w:val="16"/>
        <w:szCs w:val="16"/>
      </w:rPr>
      <w:tab/>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4D8C" w:sz="4" w:space="2"/>
      </w:pBdr>
      <w:spacing w:after="120"/>
    </w:pPr>
    <w:r>
      <w:rPr>
        <w:rFonts w:ascii="Arial" w:cs="Arial" w:eastAsia="Arial" w:hAnsi="Arial"/>
        <w:color w:val="666666"/>
        <w:sz w:val="18"/>
        <w:szCs w:val="18"/>
      </w:rPr>
      <w:t xml:space="preserve">DB Triage AI Agent  |  High-Level Design</w:t>
    </w:r>
    <w:r>
      <w:rPr>
        <w:rFonts w:ascii="Arial" w:cs="Arial" w:eastAsia="Arial" w:hAnsi="Arial"/>
        <w:b/>
        <w:bCs/>
        <w:color w:val="1E4D8C"/>
        <w:sz w:val="18"/>
        <w:szCs w:val="18"/>
      </w:rPr>
      <w:t xml:space="preserve">  —  Oracle Scale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4D8C"/>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1E4D8C"/>
      <w:sz w:val="24"/>
      <w:szCs w:val="24"/>
    </w:rPr>
  </w:style>
  <w:style w:type="paragraph" w:styleId="Heading3">
    <w:name w:val="Heading 3"/>
    <w:basedOn w:val="Normal"/>
    <w:next w:val="Normal"/>
    <w:qFormat/>
    <w:pPr>
      <w:spacing w:after="8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2026-05-04T07:03:50.324Z</dcterms:created>
  <dcterms:modified xsi:type="dcterms:W3CDTF">2026-05-04T07:03:50.324Z</dcterms:modified>
</cp:coreProperties>
</file>

<file path=docProps/custom.xml><?xml version="1.0" encoding="utf-8"?>
<Properties xmlns="http://schemas.openxmlformats.org/officeDocument/2006/custom-properties" xmlns:vt="http://schemas.openxmlformats.org/officeDocument/2006/docPropsVTypes"/>
</file>