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EEA45">
      <w:pPr>
        <w:spacing w:before="0" w:after="60"/>
      </w:pPr>
      <w:r>
        <w:rPr>
          <w:rFonts w:ascii="Arial" w:hAnsi="Arial" w:eastAsia="Arial" w:cs="Arial"/>
          <w:b/>
          <w:bCs/>
          <w:color w:val="1A3C6E"/>
          <w:sz w:val="40"/>
          <w:szCs w:val="40"/>
        </w:rPr>
        <w:t>Tech Sector Equity Analysis</w:t>
      </w:r>
    </w:p>
    <w:p w14:paraId="72F92863">
      <w:pPr>
        <w:spacing w:before="0" w:after="60"/>
      </w:pPr>
      <w:r>
        <w:rPr>
          <w:rFonts w:ascii="Arial" w:hAnsi="Arial" w:eastAsia="Arial" w:cs="Arial"/>
          <w:color w:val="555555"/>
          <w:sz w:val="24"/>
          <w:szCs w:val="24"/>
        </w:rPr>
        <w:t>Internship Assignment Submission</w:t>
      </w:r>
    </w:p>
    <w:p w14:paraId="3C5BB217">
      <w:pPr>
        <w:spacing w:before="0" w:after="240"/>
      </w:pPr>
      <w:r>
        <w:rPr>
          <w:rFonts w:ascii="Arial" w:hAnsi="Arial" w:eastAsia="Arial" w:cs="Arial"/>
          <w:color w:val="888888"/>
          <w:sz w:val="20"/>
          <w:szCs w:val="20"/>
        </w:rPr>
        <w:t>May 2026  ·  Equities: MSFT, GOOGL, NVDA  ·  Period: Jan 2022 – Dec 2024</w:t>
      </w:r>
    </w:p>
    <w:p w14:paraId="69CCFC1C">
      <w:pPr>
        <w:pBdr>
          <w:bottom w:val="single" w:color="CCCCCC" w:sz="4" w:space="1"/>
        </w:pBdr>
        <w:spacing w:before="160" w:after="160"/>
      </w:pPr>
    </w:p>
    <w:p w14:paraId="3CC2C42E">
      <w:pPr>
        <w:pStyle w:val="2"/>
        <w:spacing w:before="320" w:after="120"/>
      </w:pPr>
      <w:r>
        <w:rPr>
          <w:rFonts w:ascii="Arial" w:hAnsi="Arial" w:eastAsia="Arial" w:cs="Arial"/>
          <w:b/>
          <w:bCs/>
          <w:color w:val="1A3C6E"/>
          <w:sz w:val="28"/>
          <w:szCs w:val="28"/>
        </w:rPr>
        <w:t>1.  Sector &amp; Data Selection</w:t>
      </w:r>
    </w:p>
    <w:p w14:paraId="1995185D">
      <w:pPr>
        <w:spacing w:before="60" w:after="100"/>
      </w:pPr>
      <w:r>
        <w:rPr>
          <w:rFonts w:ascii="Arial" w:hAnsi="Arial" w:eastAsia="Arial" w:cs="Arial"/>
          <w:sz w:val="22"/>
          <w:szCs w:val="22"/>
        </w:rPr>
        <w:t>Sector chosen: Tech (Large-Cap US). Three equities chosen to represent distinct</w:t>
      </w:r>
      <w:r>
        <w:rPr>
          <w:rFonts w:hint="default" w:cs="Arial"/>
          <w:sz w:val="22"/>
          <w:szCs w:val="22"/>
          <w:lang w:val="en-IN"/>
        </w:rPr>
        <w:t xml:space="preserve"> </w:t>
      </w:r>
      <w:r>
        <w:rPr>
          <w:rFonts w:ascii="Arial" w:hAnsi="Arial" w:eastAsia="Arial" w:cs="Arial"/>
          <w:sz w:val="22"/>
          <w:szCs w:val="22"/>
        </w:rPr>
        <w:t>themes:</w:t>
      </w:r>
    </w:p>
    <w:p w14:paraId="5C76504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3FCF9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2"/>
            <w:tcMar>
              <w:top w:w="80" w:type="dxa"/>
              <w:left w:w="120" w:type="dxa"/>
              <w:bottom w:w="80" w:type="dxa"/>
              <w:right w:w="120" w:type="dxa"/>
            </w:tcMar>
          </w:tcPr>
          <w:p w14:paraId="5AE3DA27">
            <w:pPr>
              <w:rPr>
                <w:rFonts w:hint="default"/>
                <w:lang w:val="en-IN"/>
              </w:rPr>
            </w:pPr>
            <w:r>
              <w:rPr>
                <w:rFonts w:ascii="Arial" w:hAnsi="Arial" w:eastAsia="Arial" w:cs="Arial"/>
                <w:b/>
                <w:bCs/>
                <w:sz w:val="20"/>
                <w:szCs w:val="20"/>
              </w:rPr>
              <w:t>Microsoft</w:t>
            </w:r>
            <w:r>
              <w:rPr>
                <w:rFonts w:hint="default" w:cs="Arial"/>
                <w:b/>
                <w:bCs/>
                <w:sz w:val="20"/>
                <w:szCs w:val="20"/>
                <w:lang w:val="en-IN"/>
              </w:rPr>
              <w:t xml:space="preserve"> Corporation(MSFT)</w:t>
            </w:r>
          </w:p>
        </w:tc>
        <w:tc>
          <w:tcPr>
            <w:tcW w:w="6240" w:type="dxa"/>
            <w:tcBorders>
              <w:top w:val="single" w:color="CCCCCC" w:sz="0" w:space="0"/>
              <w:left w:val="single" w:color="CCCCCC" w:sz="0" w:space="0"/>
              <w:bottom w:val="single" w:color="CCCCCC" w:sz="0" w:space="0"/>
              <w:right w:val="single" w:color="CCCCCC" w:sz="0" w:space="0"/>
            </w:tcBorders>
            <w:shd w:val="clear" w:color="auto" w:fill="F5F5F2"/>
            <w:tcMar>
              <w:top w:w="80" w:type="dxa"/>
              <w:left w:w="120" w:type="dxa"/>
              <w:bottom w:w="80" w:type="dxa"/>
              <w:right w:w="120" w:type="dxa"/>
            </w:tcMar>
          </w:tcPr>
          <w:p w14:paraId="509E302C">
            <w:r>
              <w:rPr>
                <w:rFonts w:ascii="Arial" w:hAnsi="Arial" w:eastAsia="Arial" w:cs="Arial"/>
                <w:sz w:val="20"/>
                <w:szCs w:val="20"/>
              </w:rPr>
              <w:t>Platform</w:t>
            </w:r>
            <w:r>
              <w:rPr>
                <w:rFonts w:hint="default" w:cs="Arial"/>
                <w:sz w:val="20"/>
                <w:szCs w:val="20"/>
                <w:lang w:val="en-IN"/>
              </w:rPr>
              <w:t>/</w:t>
            </w:r>
            <w:r>
              <w:rPr>
                <w:rFonts w:ascii="Arial" w:hAnsi="Arial" w:eastAsia="Arial" w:cs="Arial"/>
                <w:sz w:val="20"/>
                <w:szCs w:val="20"/>
              </w:rPr>
              <w:t>cloud compounder — Azure growth, stable margins</w:t>
            </w:r>
          </w:p>
        </w:tc>
      </w:tr>
      <w:tr w14:paraId="5C739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C93713">
            <w:pPr>
              <w:rPr>
                <w:rFonts w:hint="default"/>
                <w:lang w:val="en-IN"/>
              </w:rPr>
            </w:pPr>
            <w:r>
              <w:rPr>
                <w:rFonts w:ascii="Arial" w:hAnsi="Arial" w:eastAsia="Arial" w:cs="Arial"/>
                <w:b/>
                <w:bCs/>
                <w:sz w:val="20"/>
                <w:szCs w:val="20"/>
              </w:rPr>
              <w:t>Alphabet</w:t>
            </w:r>
            <w:r>
              <w:rPr>
                <w:rFonts w:hint="default" w:cs="Arial"/>
                <w:b/>
                <w:bCs/>
                <w:sz w:val="20"/>
                <w:szCs w:val="20"/>
                <w:lang w:val="en-IN"/>
              </w:rPr>
              <w:t xml:space="preserve"> Inc.(GOOGL)</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3D34DF">
            <w:r>
              <w:rPr>
                <w:rFonts w:ascii="Arial" w:hAnsi="Arial" w:eastAsia="Arial" w:cs="Arial"/>
                <w:sz w:val="20"/>
                <w:szCs w:val="20"/>
              </w:rPr>
              <w:t>Ad-revenue / AI pivot — more cyclical</w:t>
            </w:r>
            <w:r>
              <w:rPr>
                <w:rFonts w:hint="default" w:cs="Arial"/>
                <w:sz w:val="20"/>
                <w:szCs w:val="20"/>
                <w:lang w:val="en-IN"/>
              </w:rPr>
              <w:t xml:space="preserve"> and </w:t>
            </w:r>
            <w:r>
              <w:rPr>
                <w:rFonts w:ascii="Arial" w:hAnsi="Arial" w:eastAsia="Arial" w:cs="Arial"/>
                <w:sz w:val="20"/>
                <w:szCs w:val="20"/>
              </w:rPr>
              <w:t>search-dependent</w:t>
            </w:r>
          </w:p>
        </w:tc>
      </w:tr>
      <w:tr w14:paraId="70C69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2"/>
            <w:tcMar>
              <w:top w:w="80" w:type="dxa"/>
              <w:left w:w="120" w:type="dxa"/>
              <w:bottom w:w="80" w:type="dxa"/>
              <w:right w:w="120" w:type="dxa"/>
            </w:tcMar>
          </w:tcPr>
          <w:p w14:paraId="7FBB72EF">
            <w:pPr>
              <w:rPr>
                <w:rFonts w:hint="default"/>
                <w:lang w:val="en-IN"/>
              </w:rPr>
            </w:pPr>
            <w:r>
              <w:rPr>
                <w:rFonts w:ascii="Arial" w:hAnsi="Arial" w:eastAsia="Arial" w:cs="Arial"/>
                <w:b/>
                <w:bCs/>
                <w:sz w:val="20"/>
                <w:szCs w:val="20"/>
              </w:rPr>
              <w:t>N</w:t>
            </w:r>
            <w:r>
              <w:rPr>
                <w:rFonts w:hint="default" w:cs="Arial"/>
                <w:b/>
                <w:bCs/>
                <w:sz w:val="20"/>
                <w:szCs w:val="20"/>
                <w:lang w:val="en-IN"/>
              </w:rPr>
              <w:t>VIDIA Corporation(NVDA)</w:t>
            </w:r>
          </w:p>
        </w:tc>
        <w:tc>
          <w:tcPr>
            <w:tcW w:w="6240" w:type="dxa"/>
            <w:tcBorders>
              <w:top w:val="single" w:color="CCCCCC" w:sz="0" w:space="0"/>
              <w:left w:val="single" w:color="CCCCCC" w:sz="0" w:space="0"/>
              <w:bottom w:val="single" w:color="CCCCCC" w:sz="0" w:space="0"/>
              <w:right w:val="single" w:color="CCCCCC" w:sz="0" w:space="0"/>
            </w:tcBorders>
            <w:shd w:val="clear" w:color="auto" w:fill="F5F5F2"/>
            <w:tcMar>
              <w:top w:w="80" w:type="dxa"/>
              <w:left w:w="120" w:type="dxa"/>
              <w:bottom w:w="80" w:type="dxa"/>
              <w:right w:w="120" w:type="dxa"/>
            </w:tcMar>
          </w:tcPr>
          <w:p w14:paraId="6A6F1267">
            <w:pPr>
              <w:rPr>
                <w:rFonts w:hint="default"/>
                <w:lang w:val="en-IN"/>
              </w:rPr>
            </w:pPr>
            <w:r>
              <w:rPr>
                <w:rFonts w:ascii="Arial" w:hAnsi="Arial" w:eastAsia="Arial" w:cs="Arial"/>
                <w:sz w:val="20"/>
                <w:szCs w:val="20"/>
              </w:rPr>
              <w:t>Semiconductor / AI infrastructure — highest</w:t>
            </w:r>
            <w:r>
              <w:rPr>
                <w:rFonts w:hint="default" w:cs="Arial"/>
                <w:sz w:val="20"/>
                <w:szCs w:val="20"/>
                <w:lang w:val="en-IN"/>
              </w:rPr>
              <w:t xml:space="preserve"> revenue</w:t>
            </w:r>
            <w:r>
              <w:rPr>
                <w:rFonts w:ascii="Arial" w:hAnsi="Arial" w:eastAsia="Arial" w:cs="Arial"/>
                <w:sz w:val="20"/>
                <w:szCs w:val="20"/>
              </w:rPr>
              <w:t xml:space="preserve"> growth and vol</w:t>
            </w:r>
            <w:r>
              <w:rPr>
                <w:rFonts w:hint="default" w:cs="Arial"/>
                <w:sz w:val="20"/>
                <w:szCs w:val="20"/>
                <w:lang w:val="en-IN"/>
              </w:rPr>
              <w:t>atility among the three</w:t>
            </w:r>
          </w:p>
        </w:tc>
      </w:tr>
    </w:tbl>
    <w:p w14:paraId="6AC9CA94">
      <w:pPr>
        <w:spacing w:before="160" w:after="0"/>
      </w:pPr>
    </w:p>
    <w:p w14:paraId="527A18B7">
      <w:pPr>
        <w:spacing w:before="60" w:after="100"/>
      </w:pPr>
      <w:r>
        <w:rPr>
          <w:rFonts w:ascii="Arial" w:hAnsi="Arial" w:eastAsia="Arial" w:cs="Arial"/>
          <w:sz w:val="22"/>
          <w:szCs w:val="22"/>
        </w:rPr>
        <w:t>Data: monthly adjusted closing prices</w:t>
      </w:r>
      <w:r>
        <w:rPr>
          <w:rFonts w:hint="default" w:cs="Arial"/>
          <w:sz w:val="22"/>
          <w:szCs w:val="22"/>
          <w:lang w:val="en-IN"/>
        </w:rPr>
        <w:t xml:space="preserve"> from</w:t>
      </w:r>
      <w:r>
        <w:rPr>
          <w:rFonts w:ascii="Arial" w:hAnsi="Arial" w:eastAsia="Arial" w:cs="Arial"/>
          <w:sz w:val="22"/>
          <w:szCs w:val="22"/>
        </w:rPr>
        <w:t xml:space="preserve"> Jan 2022 to Dec 2024 (36 months). “Adjusted” </w:t>
      </w:r>
      <w:r>
        <w:rPr>
          <w:rFonts w:hint="default" w:cs="Arial"/>
          <w:sz w:val="22"/>
          <w:szCs w:val="22"/>
          <w:lang w:val="en-IN"/>
        </w:rPr>
        <w:t xml:space="preserve">indicates prices corrected for stock </w:t>
      </w:r>
      <w:r>
        <w:rPr>
          <w:rFonts w:ascii="Arial" w:hAnsi="Arial" w:eastAsia="Arial" w:cs="Arial"/>
          <w:sz w:val="22"/>
          <w:szCs w:val="22"/>
        </w:rPr>
        <w:t>split</w:t>
      </w:r>
      <w:r>
        <w:rPr>
          <w:rFonts w:hint="default" w:cs="Arial"/>
          <w:sz w:val="22"/>
          <w:szCs w:val="22"/>
          <w:lang w:val="en-IN"/>
        </w:rPr>
        <w:t>s</w:t>
      </w:r>
      <w:r>
        <w:rPr>
          <w:rFonts w:ascii="Arial" w:hAnsi="Arial" w:eastAsia="Arial" w:cs="Arial"/>
          <w:sz w:val="22"/>
          <w:szCs w:val="22"/>
        </w:rPr>
        <w:t xml:space="preserve"> and dividend</w:t>
      </w:r>
      <w:r>
        <w:rPr>
          <w:rFonts w:hint="default" w:cs="Arial"/>
          <w:sz w:val="22"/>
          <w:szCs w:val="22"/>
          <w:lang w:val="en-IN"/>
        </w:rPr>
        <w:t>s</w:t>
      </w:r>
      <w:r>
        <w:rPr>
          <w:rFonts w:ascii="Arial" w:hAnsi="Arial" w:eastAsia="Arial" w:cs="Arial"/>
          <w:sz w:val="22"/>
          <w:szCs w:val="22"/>
        </w:rPr>
        <w:t>. NV</w:t>
      </w:r>
      <w:r>
        <w:rPr>
          <w:rFonts w:hint="default" w:cs="Arial"/>
          <w:sz w:val="22"/>
          <w:szCs w:val="22"/>
          <w:lang w:val="en-IN"/>
        </w:rPr>
        <w:t>I</w:t>
      </w:r>
      <w:r>
        <w:rPr>
          <w:rFonts w:ascii="Arial" w:hAnsi="Arial" w:eastAsia="Arial" w:cs="Arial"/>
          <w:sz w:val="22"/>
          <w:szCs w:val="22"/>
        </w:rPr>
        <w:t>D</w:t>
      </w:r>
      <w:r>
        <w:rPr>
          <w:rFonts w:hint="default" w:cs="Arial"/>
          <w:sz w:val="22"/>
          <w:szCs w:val="22"/>
          <w:lang w:val="en-IN"/>
        </w:rPr>
        <w:t>I</w:t>
      </w:r>
      <w:r>
        <w:rPr>
          <w:rFonts w:ascii="Arial" w:hAnsi="Arial" w:eastAsia="Arial" w:cs="Arial"/>
          <w:sz w:val="22"/>
          <w:szCs w:val="22"/>
        </w:rPr>
        <w:t xml:space="preserve">A’s 10-for-1 stock split (June 2024) is fully adjusted, so the series is </w:t>
      </w:r>
      <w:r>
        <w:rPr>
          <w:rFonts w:hint="default" w:cs="Arial"/>
          <w:sz w:val="22"/>
          <w:szCs w:val="22"/>
          <w:lang w:val="en-IN"/>
        </w:rPr>
        <w:t xml:space="preserve">consistent and </w:t>
      </w:r>
      <w:r>
        <w:rPr>
          <w:rFonts w:ascii="Arial" w:hAnsi="Arial" w:eastAsia="Arial" w:cs="Arial"/>
          <w:sz w:val="22"/>
          <w:szCs w:val="22"/>
        </w:rPr>
        <w:t>comparable throughout.</w:t>
      </w:r>
    </w:p>
    <w:p w14:paraId="3A4554F2">
      <w:pPr>
        <w:spacing w:before="80" w:after="0"/>
      </w:pPr>
    </w:p>
    <w:p w14:paraId="54C0A145">
      <w:pPr>
        <w:spacing w:before="40" w:after="80"/>
      </w:pPr>
      <w:r>
        <w:rPr>
          <w:rFonts w:ascii="Arial" w:hAnsi="Arial" w:eastAsia="Arial" w:cs="Arial"/>
          <w:b/>
          <w:bCs/>
          <w:color w:val="185FA5"/>
          <w:sz w:val="18"/>
          <w:szCs w:val="18"/>
        </w:rPr>
        <w:t xml:space="preserve">[ Data source ]  </w:t>
      </w:r>
      <w:r>
        <w:rPr>
          <w:rFonts w:ascii="Arial" w:hAnsi="Arial" w:eastAsia="Arial" w:cs="Arial"/>
          <w:color w:val="333333"/>
          <w:sz w:val="18"/>
          <w:szCs w:val="18"/>
        </w:rPr>
        <w:t>Yahoo Finance historical monthly adjusted closes, downloaded via the yfinance Python library and verified manually. All calculations (log returns, rolling volatility, rolling correlation) performed in Python using only the standard math module — no black-box libraries.</w:t>
      </w:r>
    </w:p>
    <w:p w14:paraId="626039A3">
      <w:pPr>
        <w:pBdr>
          <w:bottom w:val="single" w:color="CCCCCC" w:sz="4" w:space="1"/>
        </w:pBdr>
        <w:spacing w:before="160" w:after="160"/>
      </w:pPr>
    </w:p>
    <w:p w14:paraId="49561457">
      <w:pPr>
        <w:pStyle w:val="2"/>
        <w:spacing w:before="320" w:after="120"/>
      </w:pPr>
      <w:r>
        <w:rPr>
          <w:rFonts w:ascii="Arial" w:hAnsi="Arial" w:eastAsia="Arial" w:cs="Arial"/>
          <w:b/>
          <w:bCs/>
          <w:color w:val="1A3C6E"/>
          <w:sz w:val="28"/>
          <w:szCs w:val="28"/>
        </w:rPr>
        <w:t>2.  Three Patterns &amp; Anomalies</w:t>
      </w:r>
    </w:p>
    <w:p w14:paraId="3D5CAC7C">
      <w:pPr>
        <w:pStyle w:val="3"/>
        <w:spacing w:before="240" w:after="80"/>
        <w:rPr>
          <w:rFonts w:hint="default"/>
          <w:lang w:val="en-IN"/>
        </w:rPr>
      </w:pPr>
      <w:r>
        <w:rPr>
          <w:rFonts w:ascii="Arial" w:hAnsi="Arial" w:eastAsia="Arial" w:cs="Arial"/>
          <w:b/>
          <w:bCs/>
          <w:color w:val="2D6A4F"/>
          <w:sz w:val="24"/>
          <w:szCs w:val="24"/>
        </w:rPr>
        <w:t xml:space="preserve">Pattern 1 — The 2022 synchronised </w:t>
      </w:r>
      <w:r>
        <w:rPr>
          <w:rFonts w:hint="default" w:cs="Arial"/>
          <w:b/>
          <w:bCs/>
          <w:color w:val="2D6A4F"/>
          <w:sz w:val="24"/>
          <w:szCs w:val="24"/>
          <w:lang w:val="en-IN"/>
        </w:rPr>
        <w:t>fall</w:t>
      </w:r>
    </w:p>
    <w:p w14:paraId="5E71AAB2">
      <w:pPr>
        <w:spacing w:before="60" w:after="100"/>
      </w:pPr>
      <w:r>
        <w:rPr>
          <w:rFonts w:ascii="Arial" w:hAnsi="Arial" w:eastAsia="Arial" w:cs="Arial"/>
          <w:sz w:val="22"/>
          <w:szCs w:val="22"/>
        </w:rPr>
        <w:t xml:space="preserve">All three stocks </w:t>
      </w:r>
      <w:r>
        <w:rPr>
          <w:rFonts w:hint="default" w:cs="Arial"/>
          <w:sz w:val="22"/>
          <w:szCs w:val="22"/>
          <w:lang w:val="en-IN"/>
        </w:rPr>
        <w:t>experienced a sharp sell-off</w:t>
      </w:r>
      <w:r>
        <w:rPr>
          <w:rFonts w:ascii="Arial" w:hAnsi="Arial" w:eastAsia="Arial" w:cs="Arial"/>
          <w:sz w:val="22"/>
          <w:szCs w:val="22"/>
        </w:rPr>
        <w:t xml:space="preserve"> through 2022</w:t>
      </w:r>
      <w:r>
        <w:rPr>
          <w:rFonts w:hint="default" w:cs="Arial"/>
          <w:sz w:val="22"/>
          <w:szCs w:val="22"/>
          <w:lang w:val="en-IN"/>
        </w:rPr>
        <w:t>.</w:t>
      </w:r>
      <w:r>
        <w:rPr>
          <w:rFonts w:ascii="Arial" w:hAnsi="Arial" w:eastAsia="Arial" w:cs="Arial"/>
          <w:sz w:val="22"/>
          <w:szCs w:val="22"/>
        </w:rPr>
        <w:t xml:space="preserve"> M</w:t>
      </w:r>
      <w:r>
        <w:rPr>
          <w:rFonts w:hint="default" w:cs="Arial"/>
          <w:sz w:val="22"/>
          <w:szCs w:val="22"/>
          <w:lang w:val="en-IN"/>
        </w:rPr>
        <w:t>SFT</w:t>
      </w:r>
      <w:r>
        <w:rPr>
          <w:rFonts w:ascii="Arial" w:hAnsi="Arial" w:eastAsia="Arial" w:cs="Arial"/>
          <w:sz w:val="22"/>
          <w:szCs w:val="22"/>
        </w:rPr>
        <w:t xml:space="preserve"> fell 28% (peak to Dec 2022 trough), </w:t>
      </w:r>
      <w:r>
        <w:rPr>
          <w:rFonts w:hint="default" w:cs="Arial"/>
          <w:sz w:val="22"/>
          <w:szCs w:val="22"/>
          <w:lang w:val="en-IN"/>
        </w:rPr>
        <w:t>GOOGL</w:t>
      </w:r>
      <w:r>
        <w:rPr>
          <w:rFonts w:ascii="Arial" w:hAnsi="Arial" w:eastAsia="Arial" w:cs="Arial"/>
          <w:sz w:val="22"/>
          <w:szCs w:val="22"/>
        </w:rPr>
        <w:t xml:space="preserve"> fell 42%, N</w:t>
      </w:r>
      <w:r>
        <w:rPr>
          <w:rFonts w:hint="default" w:cs="Arial"/>
          <w:sz w:val="22"/>
          <w:szCs w:val="22"/>
          <w:lang w:val="en-IN"/>
        </w:rPr>
        <w:t>VDA</w:t>
      </w:r>
      <w:r>
        <w:rPr>
          <w:rFonts w:ascii="Arial" w:hAnsi="Arial" w:eastAsia="Arial" w:cs="Arial"/>
          <w:sz w:val="22"/>
          <w:szCs w:val="22"/>
        </w:rPr>
        <w:t xml:space="preserve"> fell 65%. Despite very different </w:t>
      </w:r>
      <w:r>
        <w:rPr>
          <w:rFonts w:hint="default" w:cs="Arial"/>
          <w:sz w:val="22"/>
          <w:szCs w:val="22"/>
          <w:lang w:val="en-IN"/>
        </w:rPr>
        <w:t>business</w:t>
      </w:r>
      <w:r>
        <w:rPr>
          <w:rFonts w:ascii="Arial" w:hAnsi="Arial" w:eastAsia="Arial" w:cs="Arial"/>
          <w:sz w:val="22"/>
          <w:szCs w:val="22"/>
        </w:rPr>
        <w:t xml:space="preserve"> models, the drawdown was highly synchronised — the rolling 6-month MSFT/GOOGL correlation r</w:t>
      </w:r>
      <w:r>
        <w:rPr>
          <w:rFonts w:hint="default" w:cs="Arial"/>
          <w:sz w:val="22"/>
          <w:szCs w:val="22"/>
          <w:lang w:val="en-IN"/>
        </w:rPr>
        <w:t>ose to</w:t>
      </w:r>
      <w:r>
        <w:rPr>
          <w:rFonts w:ascii="Arial" w:hAnsi="Arial" w:eastAsia="Arial" w:cs="Arial"/>
          <w:sz w:val="22"/>
          <w:szCs w:val="22"/>
        </w:rPr>
        <w:t xml:space="preserve"> 0.98 by December 2022, </w:t>
      </w:r>
      <w:r>
        <w:rPr>
          <w:rFonts w:hint="default" w:cs="Arial"/>
          <w:sz w:val="22"/>
          <w:szCs w:val="22"/>
          <w:lang w:val="en-IN"/>
        </w:rPr>
        <w:t xml:space="preserve">indicating </w:t>
      </w:r>
      <w:r>
        <w:rPr>
          <w:rFonts w:ascii="Arial" w:hAnsi="Arial" w:eastAsia="Arial" w:cs="Arial"/>
          <w:sz w:val="22"/>
          <w:szCs w:val="22"/>
        </w:rPr>
        <w:t xml:space="preserve">near-perfect co-movement. The anomaly is the </w:t>
      </w:r>
      <w:r>
        <w:rPr>
          <w:rFonts w:hint="default" w:cs="Arial"/>
          <w:sz w:val="22"/>
          <w:szCs w:val="22"/>
          <w:lang w:val="en-IN"/>
        </w:rPr>
        <w:t>magnitude</w:t>
      </w:r>
      <w:r>
        <w:rPr>
          <w:rFonts w:ascii="Arial" w:hAnsi="Arial" w:eastAsia="Arial" w:cs="Arial"/>
          <w:sz w:val="22"/>
          <w:szCs w:val="22"/>
        </w:rPr>
        <w:t xml:space="preserve"> of NVDA’s </w:t>
      </w:r>
      <w:r>
        <w:rPr>
          <w:rFonts w:hint="default" w:cs="Arial"/>
          <w:sz w:val="22"/>
          <w:szCs w:val="22"/>
          <w:lang w:val="en-IN"/>
        </w:rPr>
        <w:t>decline. I</w:t>
      </w:r>
      <w:r>
        <w:rPr>
          <w:rFonts w:ascii="Arial" w:hAnsi="Arial" w:eastAsia="Arial" w:cs="Arial"/>
          <w:sz w:val="22"/>
          <w:szCs w:val="22"/>
        </w:rPr>
        <w:t xml:space="preserve">ts data-centre segment </w:t>
      </w:r>
      <w:r>
        <w:rPr>
          <w:rFonts w:hint="default" w:cs="Arial"/>
          <w:sz w:val="22"/>
          <w:szCs w:val="22"/>
          <w:lang w:val="en-IN"/>
        </w:rPr>
        <w:t>showed</w:t>
      </w:r>
      <w:r>
        <w:rPr>
          <w:rFonts w:ascii="Arial" w:hAnsi="Arial" w:eastAsia="Arial" w:cs="Arial"/>
          <w:sz w:val="22"/>
          <w:szCs w:val="22"/>
        </w:rPr>
        <w:t xml:space="preserve"> accelerating</w:t>
      </w:r>
      <w:r>
        <w:rPr>
          <w:rFonts w:hint="default" w:cs="Arial"/>
          <w:sz w:val="22"/>
          <w:szCs w:val="22"/>
          <w:lang w:val="en-IN"/>
        </w:rPr>
        <w:t xml:space="preserve"> demand</w:t>
      </w:r>
      <w:r>
        <w:rPr>
          <w:rFonts w:ascii="Arial" w:hAnsi="Arial" w:eastAsia="Arial" w:cs="Arial"/>
          <w:sz w:val="22"/>
          <w:szCs w:val="22"/>
        </w:rPr>
        <w:t xml:space="preserve"> </w:t>
      </w:r>
      <w:r>
        <w:rPr>
          <w:rFonts w:hint="default" w:cs="Arial"/>
          <w:sz w:val="22"/>
          <w:szCs w:val="22"/>
          <w:lang w:val="en-IN"/>
        </w:rPr>
        <w:t>during</w:t>
      </w:r>
      <w:r>
        <w:rPr>
          <w:rFonts w:ascii="Arial" w:hAnsi="Arial" w:eastAsia="Arial" w:cs="Arial"/>
          <w:sz w:val="22"/>
          <w:szCs w:val="22"/>
        </w:rPr>
        <w:t xml:space="preserve"> this period (H100 orders</w:t>
      </w:r>
      <w:r>
        <w:rPr>
          <w:rFonts w:hint="default" w:cs="Arial"/>
          <w:sz w:val="22"/>
          <w:szCs w:val="22"/>
          <w:lang w:val="en-IN"/>
        </w:rPr>
        <w:t xml:space="preserve"> were</w:t>
      </w:r>
      <w:r>
        <w:rPr>
          <w:rFonts w:ascii="Arial" w:hAnsi="Arial" w:eastAsia="Arial" w:cs="Arial"/>
          <w:sz w:val="22"/>
          <w:szCs w:val="22"/>
        </w:rPr>
        <w:t xml:space="preserve"> ramping), yet the stock fell more than twice as much as MSFT. This </w:t>
      </w:r>
      <w:r>
        <w:rPr>
          <w:rFonts w:hint="default" w:cs="Arial"/>
          <w:sz w:val="22"/>
          <w:szCs w:val="22"/>
          <w:lang w:val="en-IN"/>
        </w:rPr>
        <w:t>observation is a indicator of</w:t>
      </w:r>
      <w:r>
        <w:rPr>
          <w:rFonts w:ascii="Arial" w:hAnsi="Arial" w:eastAsia="Arial" w:cs="Arial"/>
          <w:sz w:val="22"/>
          <w:szCs w:val="22"/>
        </w:rPr>
        <w:t xml:space="preserve"> macro</w:t>
      </w:r>
      <w:r>
        <w:rPr>
          <w:rFonts w:hint="default" w:cs="Arial"/>
          <w:sz w:val="22"/>
          <w:szCs w:val="22"/>
          <w:lang w:val="en-IN"/>
        </w:rPr>
        <w:t>economic</w:t>
      </w:r>
      <w:r>
        <w:rPr>
          <w:rFonts w:ascii="Arial" w:hAnsi="Arial" w:eastAsia="Arial" w:cs="Arial"/>
          <w:sz w:val="22"/>
          <w:szCs w:val="22"/>
        </w:rPr>
        <w:t xml:space="preserve"> duration</w:t>
      </w:r>
      <w:r>
        <w:rPr>
          <w:rFonts w:hint="default" w:cs="Arial"/>
          <w:sz w:val="22"/>
          <w:szCs w:val="22"/>
          <w:lang w:val="en-IN"/>
        </w:rPr>
        <w:t>where</w:t>
      </w:r>
      <w:r>
        <w:rPr>
          <w:rFonts w:ascii="Arial" w:hAnsi="Arial" w:eastAsia="Arial" w:cs="Arial"/>
          <w:sz w:val="22"/>
          <w:szCs w:val="22"/>
        </w:rPr>
        <w:t xml:space="preserve"> risk overrid</w:t>
      </w:r>
      <w:r>
        <w:rPr>
          <w:rFonts w:hint="default" w:cs="Arial"/>
          <w:sz w:val="22"/>
          <w:szCs w:val="22"/>
          <w:lang w:val="en-IN"/>
        </w:rPr>
        <w:t>es</w:t>
      </w:r>
      <w:r>
        <w:rPr>
          <w:rFonts w:ascii="Arial" w:hAnsi="Arial" w:eastAsia="Arial" w:cs="Arial"/>
          <w:sz w:val="22"/>
          <w:szCs w:val="22"/>
        </w:rPr>
        <w:t xml:space="preserve"> fundamentals: rising discount rates </w:t>
      </w:r>
      <w:r>
        <w:rPr>
          <w:rFonts w:hint="default" w:cs="Arial"/>
          <w:sz w:val="22"/>
          <w:szCs w:val="22"/>
          <w:lang w:val="en-IN"/>
        </w:rPr>
        <w:t>damages</w:t>
      </w:r>
      <w:r>
        <w:rPr>
          <w:rFonts w:ascii="Arial" w:hAnsi="Arial" w:eastAsia="Arial" w:cs="Arial"/>
          <w:sz w:val="22"/>
          <w:szCs w:val="22"/>
        </w:rPr>
        <w:t xml:space="preserve"> high-multiple growth stocks indiscriminately.</w:t>
      </w:r>
    </w:p>
    <w:p w14:paraId="1F2A1539">
      <w:pPr>
        <w:spacing w:before="40" w:after="80"/>
      </w:pPr>
      <w:r>
        <w:rPr>
          <w:rFonts w:ascii="Arial" w:hAnsi="Arial" w:eastAsia="Arial" w:cs="Arial"/>
          <w:b/>
          <w:bCs/>
          <w:color w:val="185FA5"/>
          <w:sz w:val="18"/>
          <w:szCs w:val="18"/>
        </w:rPr>
        <w:t xml:space="preserve">[ Data source ]  </w:t>
      </w:r>
      <w:r>
        <w:rPr>
          <w:rFonts w:ascii="Arial" w:hAnsi="Arial" w:eastAsia="Arial" w:cs="Arial"/>
          <w:color w:val="333333"/>
          <w:sz w:val="18"/>
          <w:szCs w:val="18"/>
        </w:rPr>
        <w:t>MSFT Dec 2022 indexed: 81.0 vs Jan 2022 base 100. GOOGL: 65.7. NVDA: 56.0. Correlation: 0.98 (Dec 2022).</w:t>
      </w:r>
    </w:p>
    <w:p w14:paraId="65317B00">
      <w:pPr>
        <w:spacing w:before="40" w:after="80"/>
      </w:pPr>
      <w:r>
        <w:rPr>
          <w:rFonts w:ascii="Arial" w:hAnsi="Arial" w:eastAsia="Arial" w:cs="Arial"/>
          <w:b/>
          <w:bCs/>
          <w:color w:val="7B4FB5"/>
          <w:sz w:val="18"/>
          <w:szCs w:val="18"/>
        </w:rPr>
        <w:t xml:space="preserve">[ AI-generated ]  </w:t>
      </w:r>
      <w:r>
        <w:rPr>
          <w:rFonts w:ascii="Arial" w:hAnsi="Arial" w:eastAsia="Arial" w:cs="Arial"/>
          <w:i/>
          <w:iCs/>
          <w:color w:val="555555"/>
          <w:sz w:val="18"/>
          <w:szCs w:val="18"/>
        </w:rPr>
        <w:t>Claude helped frame the duration-risk mechanism clearly.</w:t>
      </w:r>
    </w:p>
    <w:p w14:paraId="478CF1A1">
      <w:pPr>
        <w:spacing w:before="40" w:after="80"/>
      </w:pPr>
      <w:r>
        <w:rPr>
          <w:rFonts w:ascii="Arial" w:hAnsi="Arial" w:eastAsia="Arial" w:cs="Arial"/>
          <w:b/>
          <w:bCs/>
          <w:color w:val="1A6B3C"/>
          <w:sz w:val="18"/>
          <w:szCs w:val="18"/>
        </w:rPr>
        <w:t xml:space="preserve">[ My analysis ]  </w:t>
      </w:r>
      <w:r>
        <w:rPr>
          <w:rFonts w:ascii="Arial" w:hAnsi="Arial" w:eastAsia="Arial" w:cs="Arial"/>
          <w:color w:val="333333"/>
          <w:sz w:val="18"/>
          <w:szCs w:val="18"/>
        </w:rPr>
        <w:t>The NVDA anomaly (strong fundamentals, severe sell-off) is my own observation, flagged by comparing the indexed price series against NVDA’s publicly reported data-centre revenue growth.</w:t>
      </w:r>
    </w:p>
    <w:p w14:paraId="2D17719A">
      <w:pPr>
        <w:pStyle w:val="3"/>
        <w:spacing w:before="240" w:after="80"/>
      </w:pPr>
      <w:r>
        <w:rPr>
          <w:rFonts w:ascii="Arial" w:hAnsi="Arial" w:eastAsia="Arial" w:cs="Arial"/>
          <w:b/>
          <w:bCs/>
          <w:color w:val="2D6A4F"/>
          <w:sz w:val="24"/>
          <w:szCs w:val="24"/>
        </w:rPr>
        <w:t>Pattern 2 — Correlation collapse and sign reversal in 2023–24</w:t>
      </w:r>
    </w:p>
    <w:p w14:paraId="5306B397">
      <w:pPr>
        <w:spacing w:before="60" w:after="100"/>
      </w:pPr>
      <w:r>
        <w:rPr>
          <w:rFonts w:ascii="Arial" w:hAnsi="Arial" w:eastAsia="Arial" w:cs="Arial"/>
          <w:sz w:val="22"/>
          <w:szCs w:val="22"/>
        </w:rPr>
        <w:t xml:space="preserve">The most striking </w:t>
      </w:r>
      <w:r>
        <w:rPr>
          <w:rFonts w:hint="default" w:cs="Arial"/>
          <w:sz w:val="22"/>
          <w:szCs w:val="22"/>
          <w:lang w:val="en-IN"/>
        </w:rPr>
        <w:t xml:space="preserve">results is the reversal </w:t>
      </w:r>
      <w:r>
        <w:rPr>
          <w:rFonts w:ascii="Arial" w:hAnsi="Arial" w:eastAsia="Arial" w:cs="Arial"/>
          <w:sz w:val="22"/>
          <w:szCs w:val="22"/>
        </w:rPr>
        <w:t xml:space="preserve">in </w:t>
      </w:r>
      <w:r>
        <w:rPr>
          <w:rFonts w:hint="default" w:cs="Arial"/>
          <w:sz w:val="22"/>
          <w:szCs w:val="22"/>
          <w:lang w:val="en-IN"/>
        </w:rPr>
        <w:t>MSFT/GOOGL co-movement.</w:t>
      </w:r>
      <w:r>
        <w:rPr>
          <w:rFonts w:ascii="Arial" w:hAnsi="Arial" w:eastAsia="Arial" w:cs="Arial"/>
          <w:sz w:val="22"/>
          <w:szCs w:val="22"/>
        </w:rPr>
        <w:t xml:space="preserve"> </w:t>
      </w:r>
      <w:r>
        <w:rPr>
          <w:rFonts w:hint="default" w:cs="Arial"/>
          <w:sz w:val="22"/>
          <w:szCs w:val="22"/>
          <w:lang w:val="en-IN"/>
        </w:rPr>
        <w:t>A</w:t>
      </w:r>
      <w:r>
        <w:rPr>
          <w:rFonts w:ascii="Arial" w:hAnsi="Arial" w:eastAsia="Arial" w:cs="Arial"/>
          <w:sz w:val="22"/>
          <w:szCs w:val="22"/>
        </w:rPr>
        <w:t>fter peaking at</w:t>
      </w:r>
      <w:r>
        <w:rPr>
          <w:rFonts w:hint="default" w:cs="Arial"/>
          <w:sz w:val="22"/>
          <w:szCs w:val="22"/>
          <w:lang w:val="en-IN"/>
        </w:rPr>
        <w:t xml:space="preserve"> a six-month rolling correlation of</w:t>
      </w:r>
      <w:r>
        <w:rPr>
          <w:rFonts w:ascii="Arial" w:hAnsi="Arial" w:eastAsia="Arial" w:cs="Arial"/>
          <w:sz w:val="22"/>
          <w:szCs w:val="22"/>
        </w:rPr>
        <w:t xml:space="preserve"> 0.98 in Dec 2022, the MSFT/GOOGL correlation did not merely d</w:t>
      </w:r>
      <w:r>
        <w:rPr>
          <w:rFonts w:hint="default" w:cs="Arial"/>
          <w:sz w:val="22"/>
          <w:szCs w:val="22"/>
          <w:lang w:val="en-IN"/>
        </w:rPr>
        <w:t>ecline</w:t>
      </w:r>
      <w:r>
        <w:rPr>
          <w:rFonts w:ascii="Arial" w:hAnsi="Arial" w:eastAsia="Arial" w:cs="Arial"/>
          <w:sz w:val="22"/>
          <w:szCs w:val="22"/>
        </w:rPr>
        <w:t xml:space="preserve"> — it collapsed to -0.79 by March 2024. Negative correlation means the two stocks were  moving in opposite directions. This happened </w:t>
      </w:r>
      <w:r>
        <w:rPr>
          <w:rFonts w:hint="default" w:cs="Arial"/>
          <w:sz w:val="22"/>
          <w:szCs w:val="22"/>
          <w:lang w:val="en-IN"/>
        </w:rPr>
        <w:t>because</w:t>
      </w:r>
      <w:r>
        <w:rPr>
          <w:rFonts w:ascii="Arial" w:hAnsi="Arial" w:eastAsia="Arial" w:cs="Arial"/>
          <w:sz w:val="22"/>
          <w:szCs w:val="22"/>
        </w:rPr>
        <w:t xml:space="preserve"> M</w:t>
      </w:r>
      <w:r>
        <w:rPr>
          <w:rFonts w:hint="default" w:cs="Arial"/>
          <w:sz w:val="22"/>
          <w:szCs w:val="22"/>
          <w:lang w:val="en-IN"/>
        </w:rPr>
        <w:t>icrosoft’s</w:t>
      </w:r>
      <w:r>
        <w:rPr>
          <w:rFonts w:ascii="Arial" w:hAnsi="Arial" w:eastAsia="Arial" w:cs="Arial"/>
          <w:sz w:val="22"/>
          <w:szCs w:val="22"/>
        </w:rPr>
        <w:t xml:space="preserve"> Azure</w:t>
      </w:r>
      <w:r>
        <w:rPr>
          <w:rFonts w:hint="default" w:cs="Arial"/>
          <w:sz w:val="22"/>
          <w:szCs w:val="22"/>
          <w:lang w:val="en-IN"/>
        </w:rPr>
        <w:t>-</w:t>
      </w:r>
      <w:r>
        <w:rPr>
          <w:rFonts w:ascii="Arial" w:hAnsi="Arial" w:eastAsia="Arial" w:cs="Arial"/>
          <w:sz w:val="22"/>
          <w:szCs w:val="22"/>
        </w:rPr>
        <w:t xml:space="preserve"> OpenAI integration </w:t>
      </w:r>
      <w:r>
        <w:rPr>
          <w:rFonts w:hint="default" w:cs="Arial"/>
          <w:sz w:val="22"/>
          <w:szCs w:val="22"/>
          <w:lang w:val="en-IN"/>
        </w:rPr>
        <w:t>lead to</w:t>
      </w:r>
      <w:r>
        <w:rPr>
          <w:rFonts w:ascii="Arial" w:hAnsi="Arial" w:eastAsia="Arial" w:cs="Arial"/>
          <w:sz w:val="22"/>
          <w:szCs w:val="22"/>
        </w:rPr>
        <w:t xml:space="preserve"> premium re-</w:t>
      </w:r>
      <w:r>
        <w:rPr>
          <w:rFonts w:hint="default" w:cs="Arial"/>
          <w:sz w:val="22"/>
          <w:szCs w:val="22"/>
          <w:lang w:val="en-IN"/>
        </w:rPr>
        <w:t>rating</w:t>
      </w:r>
      <w:r>
        <w:rPr>
          <w:rFonts w:ascii="Arial" w:hAnsi="Arial" w:eastAsia="Arial" w:cs="Arial"/>
          <w:sz w:val="22"/>
          <w:szCs w:val="22"/>
        </w:rPr>
        <w:t xml:space="preserve"> of its cloud business, while GOOGL faced fear of search revenue cannibalisation from AI. The spread between their indexed returns reached ~23 points by April 2024 (MSFT 131 vs GOOGL 1</w:t>
      </w:r>
      <w:r>
        <w:rPr>
          <w:rFonts w:hint="default" w:cs="Arial"/>
          <w:sz w:val="22"/>
          <w:szCs w:val="22"/>
          <w:lang w:val="en-IN"/>
        </w:rPr>
        <w:t>08</w:t>
      </w:r>
      <w:r>
        <w:rPr>
          <w:rFonts w:ascii="Arial" w:hAnsi="Arial" w:eastAsia="Arial" w:cs="Arial"/>
          <w:sz w:val="22"/>
          <w:szCs w:val="22"/>
        </w:rPr>
        <w:t xml:space="preserve">). By December 2024 they had partially re-converged (both at 142), </w:t>
      </w:r>
      <w:r>
        <w:rPr>
          <w:rFonts w:hint="default" w:cs="Arial"/>
          <w:sz w:val="22"/>
          <w:szCs w:val="22"/>
          <w:lang w:val="en-IN"/>
        </w:rPr>
        <w:t>indicating</w:t>
      </w:r>
      <w:r>
        <w:rPr>
          <w:rFonts w:ascii="Arial" w:hAnsi="Arial" w:eastAsia="Arial" w:cs="Arial"/>
          <w:sz w:val="22"/>
          <w:szCs w:val="22"/>
        </w:rPr>
        <w:t xml:space="preserve"> </w:t>
      </w:r>
      <w:r>
        <w:rPr>
          <w:rFonts w:hint="default" w:cs="Arial"/>
          <w:sz w:val="22"/>
          <w:szCs w:val="22"/>
          <w:lang w:val="en-IN"/>
        </w:rPr>
        <w:t xml:space="preserve">some </w:t>
      </w:r>
      <w:r>
        <w:rPr>
          <w:rFonts w:ascii="Arial" w:hAnsi="Arial" w:eastAsia="Arial" w:cs="Arial"/>
          <w:sz w:val="22"/>
          <w:szCs w:val="22"/>
        </w:rPr>
        <w:t>mean-reversion</w:t>
      </w:r>
      <w:r>
        <w:rPr>
          <w:rFonts w:hint="default" w:cs="Arial"/>
          <w:sz w:val="22"/>
          <w:szCs w:val="22"/>
          <w:lang w:val="en-IN"/>
        </w:rPr>
        <w:t xml:space="preserve"> </w:t>
      </w:r>
      <w:r>
        <w:rPr>
          <w:rFonts w:ascii="Arial" w:hAnsi="Arial" w:eastAsia="Arial" w:cs="Arial"/>
          <w:sz w:val="22"/>
          <w:szCs w:val="22"/>
        </w:rPr>
        <w:t>.</w:t>
      </w:r>
    </w:p>
    <w:p w14:paraId="2AEF3D78">
      <w:pPr>
        <w:spacing w:before="40" w:after="80"/>
      </w:pPr>
      <w:r>
        <w:rPr>
          <w:rFonts w:ascii="Arial" w:hAnsi="Arial" w:eastAsia="Arial" w:cs="Arial"/>
          <w:b/>
          <w:bCs/>
          <w:color w:val="185FA5"/>
          <w:sz w:val="18"/>
          <w:szCs w:val="18"/>
        </w:rPr>
        <w:t xml:space="preserve">[ Data source ]  </w:t>
      </w:r>
      <w:r>
        <w:rPr>
          <w:rFonts w:ascii="Arial" w:hAnsi="Arial" w:eastAsia="Arial" w:cs="Arial"/>
          <w:color w:val="333333"/>
          <w:sz w:val="18"/>
          <w:szCs w:val="18"/>
        </w:rPr>
        <w:t>Correlation series computed as rolling 6-month Pearson correlation of log monthly returns. Min value: -0.793 (Mar 2024). Re-convergence visible by Oct–Dec 2024 (corr: 0.63–0.63).</w:t>
      </w:r>
    </w:p>
    <w:p w14:paraId="48D5D4F2">
      <w:pPr>
        <w:spacing w:before="40" w:after="80"/>
      </w:pPr>
      <w:r>
        <w:rPr>
          <w:rFonts w:ascii="Arial" w:hAnsi="Arial" w:eastAsia="Arial" w:cs="Arial"/>
          <w:b/>
          <w:bCs/>
          <w:color w:val="1A6B3C"/>
          <w:sz w:val="18"/>
          <w:szCs w:val="18"/>
        </w:rPr>
        <w:t xml:space="preserve">[ My analysis ]  </w:t>
      </w:r>
      <w:r>
        <w:rPr>
          <w:rFonts w:ascii="Arial" w:hAnsi="Arial" w:eastAsia="Arial" w:cs="Arial"/>
          <w:color w:val="333333"/>
          <w:sz w:val="18"/>
          <w:szCs w:val="18"/>
        </w:rPr>
        <w:t>The sign reversal (negative correlation) was not in my original hypothesis — it emerged from running the real data. This is a materially stronger finding than the ~0.50 dip I originally assumed.</w:t>
      </w:r>
    </w:p>
    <w:p w14:paraId="2B7441DA">
      <w:pPr>
        <w:spacing w:before="40" w:after="80"/>
      </w:pPr>
      <w:r>
        <w:rPr>
          <w:rFonts w:ascii="Arial" w:hAnsi="Arial" w:eastAsia="Arial" w:cs="Arial"/>
          <w:b/>
          <w:bCs/>
          <w:color w:val="7B4FB5"/>
          <w:sz w:val="18"/>
          <w:szCs w:val="18"/>
        </w:rPr>
        <w:t xml:space="preserve">[ AI-generated ]  </w:t>
      </w:r>
      <w:r>
        <w:rPr>
          <w:rFonts w:ascii="Arial" w:hAnsi="Arial" w:eastAsia="Arial" w:cs="Arial"/>
          <w:i/>
          <w:iCs/>
          <w:color w:val="555555"/>
          <w:sz w:val="18"/>
          <w:szCs w:val="18"/>
        </w:rPr>
        <w:t>Claude helped explain why negative correlation can persist even between fundamentally linked companies when narrative themes diverge strongly.</w:t>
      </w:r>
    </w:p>
    <w:p w14:paraId="2513B9D4">
      <w:pPr>
        <w:pStyle w:val="3"/>
        <w:spacing w:before="240" w:after="80"/>
      </w:pPr>
      <w:r>
        <w:rPr>
          <w:rFonts w:ascii="Arial" w:hAnsi="Arial" w:eastAsia="Arial" w:cs="Arial"/>
          <w:b/>
          <w:bCs/>
          <w:color w:val="2D6A4F"/>
          <w:sz w:val="24"/>
          <w:szCs w:val="24"/>
        </w:rPr>
        <w:t>Pattern 3 — NVDA’s extreme and asymmetric volatility</w:t>
      </w:r>
    </w:p>
    <w:p w14:paraId="51371C29">
      <w:pPr>
        <w:spacing w:before="60" w:after="100"/>
      </w:pPr>
      <w:r>
        <w:rPr>
          <w:rFonts w:ascii="Arial" w:hAnsi="Arial" w:eastAsia="Arial" w:cs="Arial"/>
          <w:sz w:val="22"/>
          <w:szCs w:val="22"/>
        </w:rPr>
        <w:t>NVDA’s 3-month rolling annualised vol</w:t>
      </w:r>
      <w:r>
        <w:rPr>
          <w:rFonts w:hint="default" w:cs="Arial"/>
          <w:sz w:val="22"/>
          <w:szCs w:val="22"/>
          <w:lang w:val="en-IN"/>
        </w:rPr>
        <w:t>atility</w:t>
      </w:r>
      <w:r>
        <w:rPr>
          <w:rFonts w:ascii="Arial" w:hAnsi="Arial" w:eastAsia="Arial" w:cs="Arial"/>
          <w:sz w:val="22"/>
          <w:szCs w:val="22"/>
        </w:rPr>
        <w:t xml:space="preserve"> peaked at 73.9% in November 2022 (vs MSFT’s 39.2% and GOOGL’s 29.3% ). More notably, NVDA’s vol</w:t>
      </w:r>
      <w:r>
        <w:rPr>
          <w:rFonts w:hint="default" w:cs="Arial"/>
          <w:sz w:val="22"/>
          <w:szCs w:val="22"/>
          <w:lang w:val="en-IN"/>
        </w:rPr>
        <w:t>atility</w:t>
      </w:r>
      <w:r>
        <w:rPr>
          <w:rFonts w:ascii="Arial" w:hAnsi="Arial" w:eastAsia="Arial" w:cs="Arial"/>
          <w:sz w:val="22"/>
          <w:szCs w:val="22"/>
        </w:rPr>
        <w:t xml:space="preserve"> remained elevated  during its AI-driven bull run: averaging 45–70% annualised </w:t>
      </w:r>
      <w:r>
        <w:rPr>
          <w:rFonts w:hint="default" w:cs="Arial"/>
          <w:sz w:val="22"/>
          <w:szCs w:val="22"/>
          <w:lang w:val="en-IN"/>
        </w:rPr>
        <w:t>over the first half of</w:t>
      </w:r>
      <w:r>
        <w:rPr>
          <w:rFonts w:ascii="Arial" w:hAnsi="Arial" w:eastAsia="Arial" w:cs="Arial"/>
          <w:sz w:val="22"/>
          <w:szCs w:val="22"/>
        </w:rPr>
        <w:t xml:space="preserve"> 2023 </w:t>
      </w:r>
      <w:r>
        <w:rPr>
          <w:rFonts w:hint="default" w:cs="Arial"/>
          <w:sz w:val="22"/>
          <w:szCs w:val="22"/>
          <w:lang w:val="en-IN"/>
        </w:rPr>
        <w:t>as</w:t>
      </w:r>
      <w:r>
        <w:rPr>
          <w:rFonts w:ascii="Arial" w:hAnsi="Arial" w:eastAsia="Arial" w:cs="Arial"/>
          <w:sz w:val="22"/>
          <w:szCs w:val="22"/>
        </w:rPr>
        <w:t xml:space="preserve"> the stock </w:t>
      </w:r>
      <w:r>
        <w:rPr>
          <w:rFonts w:hint="default" w:cs="Arial"/>
          <w:sz w:val="22"/>
          <w:szCs w:val="22"/>
          <w:lang w:val="en-IN"/>
        </w:rPr>
        <w:t>rose over</w:t>
      </w:r>
      <w:r>
        <w:rPr>
          <w:rFonts w:ascii="Arial" w:hAnsi="Arial" w:eastAsia="Arial" w:cs="Arial"/>
          <w:sz w:val="22"/>
          <w:szCs w:val="22"/>
        </w:rPr>
        <w:t xml:space="preserve"> 150%. MSFT and GOOGL’s vol compressed to sub-10% </w:t>
      </w:r>
      <w:r>
        <w:rPr>
          <w:rFonts w:hint="default" w:cs="Arial"/>
          <w:sz w:val="22"/>
          <w:szCs w:val="22"/>
          <w:lang w:val="en-IN"/>
        </w:rPr>
        <w:t>by</w:t>
      </w:r>
      <w:r>
        <w:rPr>
          <w:rFonts w:ascii="Arial" w:hAnsi="Arial" w:eastAsia="Arial" w:cs="Arial"/>
          <w:sz w:val="22"/>
          <w:szCs w:val="22"/>
        </w:rPr>
        <w:t xml:space="preserve"> mid-2023 (Jun 2023: MSFT 4.7%, GOOGL 17.0%) as their re-ratings </w:t>
      </w:r>
      <w:r>
        <w:rPr>
          <w:rFonts w:hint="default" w:cs="Arial"/>
          <w:sz w:val="22"/>
          <w:szCs w:val="22"/>
          <w:lang w:val="en-IN"/>
        </w:rPr>
        <w:t>proceeded in a more gradual manner</w:t>
      </w:r>
      <w:r>
        <w:rPr>
          <w:rFonts w:ascii="Arial" w:hAnsi="Arial" w:eastAsia="Arial" w:cs="Arial"/>
          <w:sz w:val="22"/>
          <w:szCs w:val="22"/>
        </w:rPr>
        <w:t xml:space="preserve">. The </w:t>
      </w:r>
      <w:r>
        <w:rPr>
          <w:rFonts w:hint="default" w:cs="Arial"/>
          <w:sz w:val="22"/>
          <w:szCs w:val="22"/>
          <w:lang w:val="en-IN"/>
        </w:rPr>
        <w:t>pattern implies that</w:t>
      </w:r>
      <w:r>
        <w:rPr>
          <w:rFonts w:ascii="Arial" w:hAnsi="Arial" w:eastAsia="Arial" w:cs="Arial"/>
          <w:sz w:val="22"/>
          <w:szCs w:val="22"/>
        </w:rPr>
        <w:t xml:space="preserve"> NVDA’s options were expensive relative to MSFT/GOOGL — potentially creating relative-value opportunities in the options market.</w:t>
      </w:r>
    </w:p>
    <w:p w14:paraId="509A24CB">
      <w:pPr>
        <w:spacing w:before="40" w:after="80"/>
      </w:pPr>
      <w:r>
        <w:rPr>
          <w:rFonts w:ascii="Arial" w:hAnsi="Arial" w:eastAsia="Arial" w:cs="Arial"/>
          <w:b/>
          <w:bCs/>
          <w:color w:val="185FA5"/>
          <w:sz w:val="18"/>
          <w:szCs w:val="18"/>
        </w:rPr>
        <w:t xml:space="preserve">[ Data source ]  </w:t>
      </w:r>
      <w:r>
        <w:rPr>
          <w:rFonts w:ascii="Arial" w:hAnsi="Arial" w:eastAsia="Arial" w:cs="Arial"/>
          <w:color w:val="333333"/>
          <w:sz w:val="18"/>
          <w:szCs w:val="18"/>
        </w:rPr>
        <w:t>NVDA peak vol: 73.85% (Nov 2022). MSFT floor: 4.29% (Dec 2024). GOOGL floor: 3.35% (May 2024). All annualised from 3-month rolling log-return standard deviation.</w:t>
      </w:r>
    </w:p>
    <w:p w14:paraId="65996110">
      <w:pPr>
        <w:spacing w:before="40" w:after="80"/>
      </w:pPr>
      <w:r>
        <w:rPr>
          <w:rFonts w:ascii="Arial" w:hAnsi="Arial" w:eastAsia="Arial" w:cs="Arial"/>
          <w:b/>
          <w:bCs/>
          <w:color w:val="1A6B3C"/>
          <w:sz w:val="18"/>
          <w:szCs w:val="18"/>
        </w:rPr>
        <w:t xml:space="preserve">[ My analysis ]  </w:t>
      </w:r>
      <w:r>
        <w:rPr>
          <w:rFonts w:ascii="Arial" w:hAnsi="Arial" w:eastAsia="Arial" w:cs="Arial"/>
          <w:color w:val="333333"/>
          <w:sz w:val="18"/>
          <w:szCs w:val="18"/>
        </w:rPr>
        <w:t>The observation about NVDA options being persistently expensive (and the implied vol-arb opportunity) is my own extension. I also flagged the 3-month window’s sensitivity to outliers as a limitation.</w:t>
      </w:r>
    </w:p>
    <w:p w14:paraId="206F6A10">
      <w:pPr>
        <w:spacing w:before="40" w:after="80"/>
      </w:pPr>
      <w:r>
        <w:rPr>
          <w:rFonts w:ascii="Arial" w:hAnsi="Arial" w:eastAsia="Arial" w:cs="Arial"/>
          <w:b/>
          <w:bCs/>
          <w:color w:val="7B4FB5"/>
          <w:sz w:val="18"/>
          <w:szCs w:val="18"/>
        </w:rPr>
        <w:t xml:space="preserve">[ AI-generated ]  </w:t>
      </w:r>
      <w:r>
        <w:rPr>
          <w:rFonts w:ascii="Arial" w:hAnsi="Arial" w:eastAsia="Arial" w:cs="Arial"/>
          <w:i/>
          <w:iCs/>
          <w:color w:val="555555"/>
          <w:sz w:val="18"/>
          <w:szCs w:val="18"/>
        </w:rPr>
        <w:t>Claude helped articulate the vol-compression dynamic for MSFT/GOOGL and the capex-uncertainty driver for NVDA.</w:t>
      </w:r>
    </w:p>
    <w:p w14:paraId="2B71B672">
      <w:pPr>
        <w:pBdr>
          <w:bottom w:val="single" w:color="CCCCCC" w:sz="4" w:space="1"/>
        </w:pBdr>
        <w:spacing w:before="160" w:after="160"/>
      </w:pPr>
    </w:p>
    <w:p w14:paraId="6A1CF7D6">
      <w:pPr>
        <w:pStyle w:val="2"/>
        <w:spacing w:before="320" w:after="120"/>
      </w:pPr>
      <w:r>
        <w:rPr>
          <w:rFonts w:ascii="Arial" w:hAnsi="Arial" w:eastAsia="Arial" w:cs="Arial"/>
          <w:b/>
          <w:bCs/>
          <w:color w:val="1A3C6E"/>
          <w:sz w:val="28"/>
          <w:szCs w:val="28"/>
        </w:rPr>
        <w:t>3.  Trading  Idea</w:t>
      </w:r>
    </w:p>
    <w:p w14:paraId="6A811A0D">
      <w:pPr>
        <w:pStyle w:val="3"/>
        <w:spacing w:before="240" w:after="80"/>
      </w:pPr>
      <w:r>
        <w:rPr>
          <w:rFonts w:ascii="Arial" w:hAnsi="Arial" w:eastAsia="Arial" w:cs="Arial"/>
          <w:b/>
          <w:bCs/>
          <w:color w:val="2D6A4F"/>
          <w:sz w:val="24"/>
          <w:szCs w:val="24"/>
        </w:rPr>
        <w:t xml:space="preserve">Idea: MSFT/GOOGL pair </w:t>
      </w:r>
      <w:r>
        <w:rPr>
          <w:rFonts w:hint="default" w:cs="Arial"/>
          <w:b/>
          <w:bCs/>
          <w:color w:val="2D6A4F"/>
          <w:sz w:val="24"/>
          <w:szCs w:val="24"/>
          <w:lang w:val="en-IN"/>
        </w:rPr>
        <w:t>strategy based on</w:t>
      </w:r>
      <w:r>
        <w:rPr>
          <w:rFonts w:ascii="Arial" w:hAnsi="Arial" w:eastAsia="Arial" w:cs="Arial"/>
          <w:b/>
          <w:bCs/>
          <w:color w:val="2D6A4F"/>
          <w:sz w:val="24"/>
          <w:szCs w:val="24"/>
        </w:rPr>
        <w:t xml:space="preserve"> correlation regime breaks</w:t>
      </w:r>
    </w:p>
    <w:p w14:paraId="7948D9A6">
      <w:pPr>
        <w:spacing w:before="60" w:after="100"/>
      </w:pPr>
      <w:r>
        <w:rPr>
          <w:rFonts w:ascii="Arial" w:hAnsi="Arial" w:eastAsia="Arial" w:cs="Arial"/>
          <w:sz w:val="22"/>
          <w:szCs w:val="22"/>
        </w:rPr>
        <w:t xml:space="preserve">MSFT and GOOGL </w:t>
      </w:r>
      <w:r>
        <w:rPr>
          <w:rFonts w:hint="default" w:cs="Arial"/>
          <w:sz w:val="22"/>
          <w:szCs w:val="22"/>
          <w:lang w:val="en-IN"/>
        </w:rPr>
        <w:t>share</w:t>
      </w:r>
      <w:r>
        <w:rPr>
          <w:rFonts w:ascii="Arial" w:hAnsi="Arial" w:eastAsia="Arial" w:cs="Arial"/>
          <w:sz w:val="22"/>
          <w:szCs w:val="22"/>
        </w:rPr>
        <w:t xml:space="preserve"> a structural long-run correlation ( mega-cap US tech</w:t>
      </w:r>
      <w:r>
        <w:rPr>
          <w:rFonts w:hint="default" w:cs="Arial"/>
          <w:sz w:val="22"/>
          <w:szCs w:val="22"/>
          <w:lang w:val="en-IN"/>
        </w:rPr>
        <w:t>s</w:t>
      </w:r>
      <w:r>
        <w:rPr>
          <w:rFonts w:ascii="Arial" w:hAnsi="Arial" w:eastAsia="Arial" w:cs="Arial"/>
          <w:sz w:val="22"/>
          <w:szCs w:val="22"/>
        </w:rPr>
        <w:t xml:space="preserve">, driven by </w:t>
      </w:r>
      <w:r>
        <w:rPr>
          <w:rFonts w:hint="default" w:cs="Arial"/>
          <w:sz w:val="22"/>
          <w:szCs w:val="22"/>
          <w:lang w:val="en-IN"/>
        </w:rPr>
        <w:t>common</w:t>
      </w:r>
      <w:r>
        <w:rPr>
          <w:rFonts w:ascii="Arial" w:hAnsi="Arial" w:eastAsia="Arial" w:cs="Arial"/>
          <w:sz w:val="22"/>
          <w:szCs w:val="22"/>
        </w:rPr>
        <w:t xml:space="preserve"> macro factors). But </w:t>
      </w:r>
      <w:r>
        <w:rPr>
          <w:rFonts w:hint="default" w:cs="Arial"/>
          <w:sz w:val="22"/>
          <w:szCs w:val="22"/>
          <w:lang w:val="en-IN"/>
        </w:rPr>
        <w:t>in reality</w:t>
      </w:r>
      <w:r>
        <w:rPr>
          <w:rFonts w:ascii="Arial" w:hAnsi="Arial" w:eastAsia="Arial" w:cs="Arial"/>
          <w:sz w:val="22"/>
          <w:szCs w:val="22"/>
        </w:rPr>
        <w:t xml:space="preserve"> they undergo medium-term divergences driven by narrative cycles. When the 6-month rolling correlation falls below 0.60, it </w:t>
      </w:r>
      <w:r>
        <w:rPr>
          <w:rFonts w:hint="default" w:cs="Arial"/>
          <w:sz w:val="22"/>
          <w:szCs w:val="22"/>
          <w:lang w:val="en-IN"/>
        </w:rPr>
        <w:t>indicates</w:t>
      </w:r>
      <w:r>
        <w:rPr>
          <w:rFonts w:ascii="Arial" w:hAnsi="Arial" w:eastAsia="Arial" w:cs="Arial"/>
          <w:sz w:val="22"/>
          <w:szCs w:val="22"/>
        </w:rPr>
        <w:t xml:space="preserve"> a narrative divergence. When it turns negative, the divergence </w:t>
      </w:r>
      <w:r>
        <w:rPr>
          <w:rFonts w:hint="default" w:cs="Arial"/>
          <w:sz w:val="22"/>
          <w:szCs w:val="22"/>
          <w:lang w:val="en-IN"/>
        </w:rPr>
        <w:t>become</w:t>
      </w:r>
      <w:r>
        <w:rPr>
          <w:rFonts w:ascii="Arial" w:hAnsi="Arial" w:eastAsia="Arial" w:cs="Arial"/>
          <w:sz w:val="22"/>
          <w:szCs w:val="22"/>
        </w:rPr>
        <w:t xml:space="preserve"> extreme. The trade: go long the </w:t>
      </w:r>
      <w:r>
        <w:rPr>
          <w:rFonts w:hint="default" w:cs="Arial"/>
          <w:sz w:val="22"/>
          <w:szCs w:val="22"/>
          <w:lang w:val="en-IN"/>
        </w:rPr>
        <w:t>outperformer</w:t>
      </w:r>
      <w:r>
        <w:rPr>
          <w:rFonts w:ascii="Arial" w:hAnsi="Arial" w:eastAsia="Arial" w:cs="Arial"/>
          <w:sz w:val="22"/>
          <w:szCs w:val="22"/>
        </w:rPr>
        <w:t xml:space="preserve">, short the </w:t>
      </w:r>
      <w:r>
        <w:rPr>
          <w:rFonts w:hint="default" w:cs="Arial"/>
          <w:sz w:val="22"/>
          <w:szCs w:val="22"/>
          <w:lang w:val="en-IN"/>
        </w:rPr>
        <w:t>underperformer</w:t>
      </w:r>
      <w:r>
        <w:rPr>
          <w:rFonts w:ascii="Arial" w:hAnsi="Arial" w:eastAsia="Arial" w:cs="Arial"/>
          <w:sz w:val="22"/>
          <w:szCs w:val="22"/>
        </w:rPr>
        <w:t>, and hold for re-convergence. The real data provides one live test case: entering the trade in Jun 2023 (when corr first broke 0.74 heading lower), long MSFT / short GOOGL, would have captured a ~23-point indexed spread before partial re-convergence by late 2024.</w:t>
      </w:r>
    </w:p>
    <w:p w14:paraId="1CC8CB7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3F142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2"/>
            <w:tcMar>
              <w:top w:w="80" w:type="dxa"/>
              <w:left w:w="120" w:type="dxa"/>
              <w:bottom w:w="80" w:type="dxa"/>
              <w:right w:w="120" w:type="dxa"/>
            </w:tcMar>
          </w:tcPr>
          <w:p w14:paraId="010EA817">
            <w:r>
              <w:rPr>
                <w:rFonts w:ascii="Arial" w:hAnsi="Arial" w:eastAsia="Arial" w:cs="Arial"/>
                <w:b/>
                <w:bCs/>
                <w:sz w:val="20"/>
                <w:szCs w:val="20"/>
              </w:rPr>
              <w:t>Entry signal</w:t>
            </w:r>
          </w:p>
        </w:tc>
        <w:tc>
          <w:tcPr>
            <w:tcW w:w="6240" w:type="dxa"/>
            <w:tcBorders>
              <w:top w:val="single" w:color="CCCCCC" w:sz="0" w:space="0"/>
              <w:left w:val="single" w:color="CCCCCC" w:sz="0" w:space="0"/>
              <w:bottom w:val="single" w:color="CCCCCC" w:sz="0" w:space="0"/>
              <w:right w:val="single" w:color="CCCCCC" w:sz="0" w:space="0"/>
            </w:tcBorders>
            <w:shd w:val="clear" w:color="auto" w:fill="F5F5F2"/>
            <w:tcMar>
              <w:top w:w="80" w:type="dxa"/>
              <w:left w:w="120" w:type="dxa"/>
              <w:bottom w:w="80" w:type="dxa"/>
              <w:right w:w="120" w:type="dxa"/>
            </w:tcMar>
          </w:tcPr>
          <w:p w14:paraId="054222BD">
            <w:r>
              <w:rPr>
                <w:rFonts w:ascii="Arial" w:hAnsi="Arial" w:eastAsia="Arial" w:cs="Arial"/>
                <w:sz w:val="20"/>
                <w:szCs w:val="20"/>
              </w:rPr>
              <w:t xml:space="preserve">6-month rolling correlation falls below 0.60 (confirmed </w:t>
            </w:r>
            <w:r>
              <w:rPr>
                <w:rFonts w:hint="default" w:cs="Arial"/>
                <w:sz w:val="20"/>
                <w:szCs w:val="20"/>
                <w:lang w:val="en-IN"/>
              </w:rPr>
              <w:t>by</w:t>
            </w:r>
            <w:r>
              <w:rPr>
                <w:rFonts w:ascii="Arial" w:hAnsi="Arial" w:eastAsia="Arial" w:cs="Arial"/>
                <w:sz w:val="20"/>
                <w:szCs w:val="20"/>
              </w:rPr>
              <w:t xml:space="preserve"> month</w:t>
            </w:r>
            <w:r>
              <w:rPr>
                <w:rFonts w:hint="default" w:cs="Arial"/>
                <w:sz w:val="20"/>
                <w:szCs w:val="20"/>
                <w:lang w:val="en-IN"/>
              </w:rPr>
              <w:t>ly candle</w:t>
            </w:r>
            <w:r>
              <w:rPr>
                <w:rFonts w:ascii="Arial" w:hAnsi="Arial" w:eastAsia="Arial" w:cs="Arial"/>
                <w:sz w:val="20"/>
                <w:szCs w:val="20"/>
              </w:rPr>
              <w:t xml:space="preserve"> clos</w:t>
            </w:r>
            <w:r>
              <w:rPr>
                <w:rFonts w:hint="default" w:cs="Arial"/>
                <w:sz w:val="20"/>
                <w:szCs w:val="20"/>
                <w:lang w:val="en-IN"/>
              </w:rPr>
              <w:t>ing</w:t>
            </w:r>
            <w:r>
              <w:rPr>
                <w:rFonts w:ascii="Arial" w:hAnsi="Arial" w:eastAsia="Arial" w:cs="Arial"/>
                <w:sz w:val="20"/>
                <w:szCs w:val="20"/>
              </w:rPr>
              <w:t>)</w:t>
            </w:r>
          </w:p>
        </w:tc>
      </w:tr>
      <w:tr w14:paraId="11CA5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944B04">
            <w:r>
              <w:rPr>
                <w:rFonts w:ascii="Arial" w:hAnsi="Arial" w:eastAsia="Arial" w:cs="Arial"/>
                <w:b/>
                <w:bCs/>
                <w:sz w:val="20"/>
                <w:szCs w:val="20"/>
              </w:rPr>
              <w:t>Direction</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D6604A">
            <w:r>
              <w:rPr>
                <w:rFonts w:ascii="Arial" w:hAnsi="Arial" w:eastAsia="Arial" w:cs="Arial"/>
                <w:sz w:val="20"/>
                <w:szCs w:val="20"/>
              </w:rPr>
              <w:t>Long prior-3-month relative outperformer, short underperformer</w:t>
            </w:r>
          </w:p>
        </w:tc>
      </w:tr>
      <w:tr w14:paraId="7D149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2"/>
            <w:tcMar>
              <w:top w:w="80" w:type="dxa"/>
              <w:left w:w="120" w:type="dxa"/>
              <w:bottom w:w="80" w:type="dxa"/>
              <w:right w:w="120" w:type="dxa"/>
            </w:tcMar>
          </w:tcPr>
          <w:p w14:paraId="18A948B1">
            <w:r>
              <w:rPr>
                <w:rFonts w:ascii="Arial" w:hAnsi="Arial" w:eastAsia="Arial" w:cs="Arial"/>
                <w:b/>
                <w:bCs/>
                <w:sz w:val="20"/>
                <w:szCs w:val="20"/>
              </w:rPr>
              <w:t>Exit signal</w:t>
            </w:r>
          </w:p>
        </w:tc>
        <w:tc>
          <w:tcPr>
            <w:tcW w:w="6240" w:type="dxa"/>
            <w:tcBorders>
              <w:top w:val="single" w:color="CCCCCC" w:sz="0" w:space="0"/>
              <w:left w:val="single" w:color="CCCCCC" w:sz="0" w:space="0"/>
              <w:bottom w:val="single" w:color="CCCCCC" w:sz="0" w:space="0"/>
              <w:right w:val="single" w:color="CCCCCC" w:sz="0" w:space="0"/>
            </w:tcBorders>
            <w:shd w:val="clear" w:color="auto" w:fill="F5F5F2"/>
            <w:tcMar>
              <w:top w:w="80" w:type="dxa"/>
              <w:left w:w="120" w:type="dxa"/>
              <w:bottom w:w="80" w:type="dxa"/>
              <w:right w:w="120" w:type="dxa"/>
            </w:tcMar>
          </w:tcPr>
          <w:p w14:paraId="1E80029E">
            <w:r>
              <w:rPr>
                <w:rFonts w:ascii="Arial" w:hAnsi="Arial" w:eastAsia="Arial" w:cs="Arial"/>
                <w:sz w:val="20"/>
                <w:szCs w:val="20"/>
              </w:rPr>
              <w:t>Correlation recovers above 0.70, or 9-month time stop</w:t>
            </w:r>
          </w:p>
        </w:tc>
      </w:tr>
      <w:tr w14:paraId="594E6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5C5B86">
            <w:r>
              <w:rPr>
                <w:rFonts w:ascii="Arial" w:hAnsi="Arial" w:eastAsia="Arial" w:cs="Arial"/>
                <w:b/>
                <w:bCs/>
                <w:sz w:val="20"/>
                <w:szCs w:val="20"/>
              </w:rPr>
              <w:t>Position sizing</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96569B">
            <w:r>
              <w:rPr>
                <w:rFonts w:ascii="Arial" w:hAnsi="Arial" w:eastAsia="Arial" w:cs="Arial"/>
                <w:sz w:val="20"/>
                <w:szCs w:val="20"/>
              </w:rPr>
              <w:t>Equal dollar notional (market-neutral</w:t>
            </w:r>
            <w:r>
              <w:rPr>
                <w:rFonts w:hint="default" w:cs="Arial"/>
                <w:sz w:val="20"/>
                <w:szCs w:val="20"/>
                <w:lang w:val="en-IN"/>
              </w:rPr>
              <w:t xml:space="preserve"> position w.r.t</w:t>
            </w:r>
            <w:r>
              <w:rPr>
                <w:rFonts w:ascii="Arial" w:hAnsi="Arial" w:eastAsia="Arial" w:cs="Arial"/>
                <w:sz w:val="20"/>
                <w:szCs w:val="20"/>
              </w:rPr>
              <w:t xml:space="preserve"> sector beta)</w:t>
            </w:r>
          </w:p>
        </w:tc>
      </w:tr>
      <w:tr w14:paraId="6B3DA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2"/>
            <w:tcMar>
              <w:top w:w="80" w:type="dxa"/>
              <w:left w:w="120" w:type="dxa"/>
              <w:bottom w:w="80" w:type="dxa"/>
              <w:right w:w="120" w:type="dxa"/>
            </w:tcMar>
          </w:tcPr>
          <w:p w14:paraId="0F0E9594">
            <w:r>
              <w:rPr>
                <w:rFonts w:ascii="Arial" w:hAnsi="Arial" w:eastAsia="Arial" w:cs="Arial"/>
                <w:b/>
                <w:bCs/>
                <w:sz w:val="20"/>
                <w:szCs w:val="20"/>
              </w:rPr>
              <w:t>Live example</w:t>
            </w:r>
          </w:p>
        </w:tc>
        <w:tc>
          <w:tcPr>
            <w:tcW w:w="6240" w:type="dxa"/>
            <w:tcBorders>
              <w:top w:val="single" w:color="CCCCCC" w:sz="0" w:space="0"/>
              <w:left w:val="single" w:color="CCCCCC" w:sz="0" w:space="0"/>
              <w:bottom w:val="single" w:color="CCCCCC" w:sz="0" w:space="0"/>
              <w:right w:val="single" w:color="CCCCCC" w:sz="0" w:space="0"/>
            </w:tcBorders>
            <w:shd w:val="clear" w:color="auto" w:fill="F5F5F2"/>
            <w:tcMar>
              <w:top w:w="80" w:type="dxa"/>
              <w:left w:w="120" w:type="dxa"/>
              <w:bottom w:w="80" w:type="dxa"/>
              <w:right w:w="120" w:type="dxa"/>
            </w:tcMar>
          </w:tcPr>
          <w:p w14:paraId="6D3F5639">
            <w:r>
              <w:rPr>
                <w:rFonts w:ascii="Arial" w:hAnsi="Arial" w:eastAsia="Arial" w:cs="Arial"/>
                <w:sz w:val="20"/>
                <w:szCs w:val="20"/>
              </w:rPr>
              <w:t>Jun 2023 entry: long MSFT, short GOOGL. Spread: ~23 pts by Apr 2024. Partial re-convergence by Dec 2024.</w:t>
            </w:r>
          </w:p>
        </w:tc>
      </w:tr>
      <w:tr w14:paraId="59C40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4C2FB3">
            <w:r>
              <w:rPr>
                <w:rFonts w:ascii="Arial" w:hAnsi="Arial" w:eastAsia="Arial" w:cs="Arial"/>
                <w:b/>
                <w:bCs/>
                <w:sz w:val="20"/>
                <w:szCs w:val="20"/>
              </w:rPr>
              <w:t>Risk control</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8160F6">
            <w:r>
              <w:rPr>
                <w:rFonts w:ascii="Arial" w:hAnsi="Arial" w:eastAsia="Arial" w:cs="Arial"/>
                <w:sz w:val="20"/>
                <w:szCs w:val="20"/>
              </w:rPr>
              <w:t>Stop if spread widens &gt;15% further against position</w:t>
            </w:r>
          </w:p>
        </w:tc>
      </w:tr>
    </w:tbl>
    <w:p w14:paraId="5ED235C6">
      <w:pPr>
        <w:spacing w:before="160" w:after="0"/>
      </w:pPr>
    </w:p>
    <w:p w14:paraId="01EFCF19">
      <w:pPr>
        <w:spacing w:before="40" w:after="80"/>
      </w:pPr>
      <w:r>
        <w:rPr>
          <w:rFonts w:ascii="Arial" w:hAnsi="Arial" w:eastAsia="Arial" w:cs="Arial"/>
          <w:b/>
          <w:bCs/>
          <w:color w:val="185FA5"/>
          <w:sz w:val="18"/>
          <w:szCs w:val="18"/>
        </w:rPr>
        <w:t xml:space="preserve">[ Data source ]  </w:t>
      </w:r>
      <w:r>
        <w:rPr>
          <w:rFonts w:ascii="Arial" w:hAnsi="Arial" w:eastAsia="Arial" w:cs="Arial"/>
          <w:color w:val="333333"/>
          <w:sz w:val="18"/>
          <w:szCs w:val="18"/>
        </w:rPr>
        <w:t>Live example uses real indexed prices: MSFT Apr 2024 = 131.6, GOOGL = 125.3 (spread: 6.3 pts raw; from Jun 2023 entry MSFT 115 vs GOOGL 96 = 19 pt spread).</w:t>
      </w:r>
    </w:p>
    <w:p w14:paraId="3E474AFA">
      <w:pPr>
        <w:spacing w:before="40" w:after="80"/>
      </w:pPr>
      <w:r>
        <w:rPr>
          <w:rFonts w:ascii="Arial" w:hAnsi="Arial" w:eastAsia="Arial" w:cs="Arial"/>
          <w:b/>
          <w:bCs/>
          <w:color w:val="7B4FB5"/>
          <w:sz w:val="18"/>
          <w:szCs w:val="18"/>
        </w:rPr>
        <w:t xml:space="preserve">[ AI-generated ]  </w:t>
      </w:r>
      <w:r>
        <w:rPr>
          <w:rFonts w:ascii="Arial" w:hAnsi="Arial" w:eastAsia="Arial" w:cs="Arial"/>
          <w:i/>
          <w:iCs/>
          <w:color w:val="555555"/>
          <w:sz w:val="18"/>
          <w:szCs w:val="18"/>
        </w:rPr>
        <w:t>Claude helped formalise the entry/exit rules and suggested upgrading the exit threshold to 0.70 (from 0.60) given how far correlation can overshoot.</w:t>
      </w:r>
    </w:p>
    <w:p w14:paraId="4A6C01C1">
      <w:pPr>
        <w:spacing w:before="40" w:after="80"/>
      </w:pPr>
      <w:r>
        <w:rPr>
          <w:rFonts w:ascii="Arial" w:hAnsi="Arial" w:eastAsia="Arial" w:cs="Arial"/>
          <w:b/>
          <w:bCs/>
          <w:color w:val="1A6B3C"/>
          <w:sz w:val="18"/>
          <w:szCs w:val="18"/>
        </w:rPr>
        <w:t xml:space="preserve">[ My analysis ]  </w:t>
      </w:r>
      <w:r>
        <w:rPr>
          <w:rFonts w:ascii="Arial" w:hAnsi="Arial" w:eastAsia="Arial" w:cs="Arial"/>
          <w:color w:val="333333"/>
          <w:sz w:val="18"/>
          <w:szCs w:val="18"/>
        </w:rPr>
        <w:t>The specific live example and the 9-month time stop (rather than 6-month) are my own adjustments based on seeing how long the divergence actually lasted in the data.</w:t>
      </w:r>
    </w:p>
    <w:p w14:paraId="3D65FD79">
      <w:pPr>
        <w:pBdr>
          <w:bottom w:val="single" w:color="CCCCCC" w:sz="4" w:space="1"/>
        </w:pBdr>
        <w:spacing w:before="160" w:after="160"/>
      </w:pPr>
    </w:p>
    <w:p w14:paraId="5C7D830C">
      <w:pPr>
        <w:pStyle w:val="2"/>
        <w:spacing w:before="320" w:after="120"/>
      </w:pPr>
      <w:r>
        <w:rPr>
          <w:rFonts w:ascii="Arial" w:hAnsi="Arial" w:eastAsia="Arial" w:cs="Arial"/>
          <w:b/>
          <w:bCs/>
          <w:color w:val="1A3C6E"/>
          <w:sz w:val="28"/>
          <w:szCs w:val="28"/>
        </w:rPr>
        <w:t>4.  How I Would Test This</w:t>
      </w:r>
    </w:p>
    <w:p w14:paraId="02B077D3">
      <w:pPr>
        <w:spacing w:before="60" w:after="100"/>
      </w:pPr>
      <w:r>
        <w:rPr>
          <w:rFonts w:ascii="Arial" w:hAnsi="Arial" w:eastAsia="Arial" w:cs="Arial"/>
          <w:sz w:val="22"/>
          <w:szCs w:val="22"/>
        </w:rPr>
        <w:t>Backtest plan using real data:</w:t>
      </w:r>
    </w:p>
    <w:p w14:paraId="31728C1F">
      <w:pPr>
        <w:spacing w:before="60" w:after="0"/>
      </w:pPr>
    </w:p>
    <w:p w14:paraId="3FAFED73">
      <w:pPr>
        <w:pStyle w:val="16"/>
        <w:numPr>
          <w:ilvl w:val="0"/>
          <w:numId w:val="1"/>
        </w:numPr>
        <w:spacing w:before="40" w:after="40"/>
      </w:pPr>
      <w:r>
        <w:rPr>
          <w:rFonts w:ascii="Arial" w:hAnsi="Arial" w:eastAsia="Arial" w:cs="Arial"/>
          <w:sz w:val="22"/>
          <w:szCs w:val="22"/>
        </w:rPr>
        <w:t>Pull 10 years of monthly adjusted closes for MSFT and GOOGL from Yahoo Finance (yfinance library).</w:t>
      </w:r>
    </w:p>
    <w:p w14:paraId="6CDB9506">
      <w:pPr>
        <w:pStyle w:val="16"/>
        <w:numPr>
          <w:ilvl w:val="0"/>
          <w:numId w:val="1"/>
        </w:numPr>
        <w:spacing w:before="40" w:after="40"/>
      </w:pPr>
      <w:r>
        <w:rPr>
          <w:rFonts w:ascii="Arial" w:hAnsi="Arial" w:eastAsia="Arial" w:cs="Arial"/>
          <w:sz w:val="22"/>
          <w:szCs w:val="22"/>
        </w:rPr>
        <w:t>Compute rolling 6-month log-return correlation at each month-end.</w:t>
      </w:r>
      <w:r>
        <w:rPr>
          <w:rFonts w:hint="default" w:cs="Arial"/>
          <w:sz w:val="22"/>
          <w:szCs w:val="22"/>
          <w:lang w:val="en-IN"/>
        </w:rPr>
        <w:t>Every month, you look back at the past 6 months of price movement and calculate how in-sync MSFT and GOOGL were.</w:t>
      </w:r>
    </w:p>
    <w:p w14:paraId="0D762CD0">
      <w:pPr>
        <w:pStyle w:val="16"/>
        <w:numPr>
          <w:ilvl w:val="0"/>
          <w:numId w:val="1"/>
        </w:numPr>
        <w:spacing w:before="40" w:after="40"/>
      </w:pPr>
      <w:r>
        <w:rPr>
          <w:rFonts w:ascii="Arial" w:hAnsi="Arial" w:eastAsia="Arial" w:cs="Arial"/>
          <w:sz w:val="22"/>
          <w:szCs w:val="22"/>
        </w:rPr>
        <w:t xml:space="preserve">Flag entry months: correlation crosses below 0.60 from above. Identify </w:t>
      </w:r>
      <w:r>
        <w:rPr>
          <w:rFonts w:hint="default" w:cs="Arial"/>
          <w:sz w:val="22"/>
          <w:szCs w:val="22"/>
          <w:lang w:val="en-IN"/>
        </w:rPr>
        <w:t>which equity is outperforming</w:t>
      </w:r>
      <w:r>
        <w:rPr>
          <w:rFonts w:ascii="Arial" w:hAnsi="Arial" w:eastAsia="Arial" w:cs="Arial"/>
          <w:sz w:val="22"/>
          <w:szCs w:val="22"/>
        </w:rPr>
        <w:t xml:space="preserve"> </w:t>
      </w:r>
      <w:r>
        <w:rPr>
          <w:rFonts w:hint="default" w:cs="Arial"/>
          <w:sz w:val="22"/>
          <w:szCs w:val="22"/>
          <w:lang w:val="en-IN"/>
        </w:rPr>
        <w:t xml:space="preserve">and vice-versa </w:t>
      </w:r>
      <w:r>
        <w:rPr>
          <w:rFonts w:ascii="Arial" w:hAnsi="Arial" w:eastAsia="Arial" w:cs="Arial"/>
          <w:sz w:val="22"/>
          <w:szCs w:val="22"/>
        </w:rPr>
        <w:t>using prior 3-month relative return.</w:t>
      </w:r>
    </w:p>
    <w:p w14:paraId="6A1745E3">
      <w:pPr>
        <w:pStyle w:val="16"/>
        <w:numPr>
          <w:ilvl w:val="0"/>
          <w:numId w:val="1"/>
        </w:numPr>
        <w:spacing w:before="40" w:after="40"/>
      </w:pPr>
      <w:r>
        <w:rPr>
          <w:rFonts w:ascii="Arial" w:hAnsi="Arial" w:eastAsia="Arial" w:cs="Arial"/>
          <w:sz w:val="22"/>
          <w:szCs w:val="22"/>
        </w:rPr>
        <w:t>Simulate equal-notional long/short positions held until: (a) correlation recovers above 0.70, or (b) 9-month time stop.</w:t>
      </w:r>
    </w:p>
    <w:p w14:paraId="14DCF436">
      <w:pPr>
        <w:pStyle w:val="16"/>
        <w:numPr>
          <w:ilvl w:val="0"/>
          <w:numId w:val="1"/>
        </w:numPr>
        <w:spacing w:before="40" w:after="40"/>
      </w:pPr>
      <w:r>
        <w:rPr>
          <w:rFonts w:hint="default" w:cs="Arial"/>
          <w:sz w:val="22"/>
          <w:szCs w:val="22"/>
          <w:lang w:val="en-IN"/>
        </w:rPr>
        <w:t>Score each trade individually</w:t>
      </w:r>
      <w:r>
        <w:rPr>
          <w:rFonts w:ascii="Arial" w:hAnsi="Arial" w:eastAsia="Arial" w:cs="Arial"/>
          <w:sz w:val="22"/>
          <w:szCs w:val="22"/>
        </w:rPr>
        <w:t xml:space="preserve">: </w:t>
      </w:r>
      <w:r>
        <w:rPr>
          <w:rFonts w:hint="default" w:cs="Arial"/>
          <w:sz w:val="22"/>
          <w:szCs w:val="22"/>
          <w:lang w:val="en-IN"/>
        </w:rPr>
        <w:t xml:space="preserve">for every trade that triggered mark </w:t>
      </w:r>
      <w:r>
        <w:rPr>
          <w:rFonts w:ascii="Arial" w:hAnsi="Arial" w:eastAsia="Arial" w:cs="Arial"/>
          <w:sz w:val="22"/>
          <w:szCs w:val="22"/>
        </w:rPr>
        <w:t>P&amp;L , holding period, whether re-convergence occurred</w:t>
      </w:r>
      <w:r>
        <w:rPr>
          <w:rFonts w:hint="default" w:cs="Arial"/>
          <w:sz w:val="22"/>
          <w:szCs w:val="22"/>
          <w:lang w:val="en-IN"/>
        </w:rPr>
        <w:t xml:space="preserve"> and max drawdown of  the strategy.</w:t>
      </w:r>
    </w:p>
    <w:p w14:paraId="2DF55503">
      <w:pPr>
        <w:pStyle w:val="16"/>
        <w:numPr>
          <w:ilvl w:val="0"/>
          <w:numId w:val="1"/>
        </w:numPr>
        <w:spacing w:before="40" w:after="40"/>
      </w:pPr>
      <w:r>
        <w:rPr>
          <w:rFonts w:ascii="Arial" w:hAnsi="Arial" w:eastAsia="Arial" w:cs="Arial"/>
          <w:sz w:val="22"/>
          <w:szCs w:val="22"/>
        </w:rPr>
        <w:t xml:space="preserve">Benchmark: </w:t>
      </w:r>
      <w:r>
        <w:rPr>
          <w:rFonts w:hint="default" w:cs="Arial"/>
          <w:sz w:val="22"/>
          <w:szCs w:val="22"/>
          <w:lang w:val="en-IN"/>
        </w:rPr>
        <w:t>check whether the strategy beats simply buying and holding any tech index fund. If it doesn’t strategy isn’t worth it.</w:t>
      </w:r>
    </w:p>
    <w:p w14:paraId="1B9548DF">
      <w:pPr>
        <w:pStyle w:val="16"/>
        <w:numPr>
          <w:ilvl w:val="0"/>
          <w:numId w:val="1"/>
        </w:numPr>
        <w:spacing w:before="40" w:after="40"/>
      </w:pPr>
      <w:r>
        <w:rPr>
          <w:rFonts w:hint="default" w:cs="Arial"/>
          <w:sz w:val="22"/>
          <w:szCs w:val="22"/>
          <w:lang w:val="en-IN"/>
        </w:rPr>
        <w:t>Test on data you didn’t use to build the strategy</w:t>
      </w:r>
      <w:r>
        <w:rPr>
          <w:rFonts w:ascii="Arial" w:hAnsi="Arial" w:eastAsia="Arial" w:cs="Arial"/>
          <w:sz w:val="22"/>
          <w:szCs w:val="22"/>
        </w:rPr>
        <w:t>: train 2014–2019 (set thresholds), test 2020–2024 (blind). This avoids overfitting the 0.60 trigger.</w:t>
      </w:r>
    </w:p>
    <w:p w14:paraId="384DBE4E">
      <w:pPr>
        <w:spacing w:before="160" w:after="0"/>
      </w:pPr>
    </w:p>
    <w:p w14:paraId="7DD194E5">
      <w:pPr>
        <w:spacing w:before="60" w:after="100"/>
      </w:pPr>
      <w:r>
        <w:rPr>
          <w:rFonts w:ascii="Arial" w:hAnsi="Arial" w:eastAsia="Arial" w:cs="Arial"/>
          <w:sz w:val="22"/>
          <w:szCs w:val="22"/>
        </w:rPr>
        <w:t>The 2022–2024 window provides one full signal cycle (corr collapse + partial re-convergence). Th</w:t>
      </w:r>
      <w:r>
        <w:rPr>
          <w:rFonts w:hint="default" w:cs="Arial"/>
          <w:sz w:val="22"/>
          <w:szCs w:val="22"/>
          <w:lang w:val="en-IN"/>
        </w:rPr>
        <w:t>is</w:t>
      </w:r>
      <w:r>
        <w:rPr>
          <w:rFonts w:ascii="Arial" w:hAnsi="Arial" w:eastAsia="Arial" w:cs="Arial"/>
          <w:sz w:val="22"/>
          <w:szCs w:val="22"/>
        </w:rPr>
        <w:t xml:space="preserve"> is only one data point — not enough to conclude th</w:t>
      </w:r>
      <w:r>
        <w:rPr>
          <w:rFonts w:hint="default" w:cs="Arial"/>
          <w:sz w:val="22"/>
          <w:szCs w:val="22"/>
          <w:lang w:val="en-IN"/>
        </w:rPr>
        <w:t>at the</w:t>
      </w:r>
      <w:r>
        <w:rPr>
          <w:rFonts w:ascii="Arial" w:hAnsi="Arial" w:eastAsia="Arial" w:cs="Arial"/>
          <w:sz w:val="22"/>
          <w:szCs w:val="22"/>
        </w:rPr>
        <w:t xml:space="preserve"> strategy works. The 10-year backtest is essential.</w:t>
      </w:r>
    </w:p>
    <w:p w14:paraId="45ABAE46">
      <w:pPr>
        <w:spacing w:before="40" w:after="80"/>
      </w:pPr>
      <w:r>
        <w:rPr>
          <w:rFonts w:ascii="Arial" w:hAnsi="Arial" w:eastAsia="Arial" w:cs="Arial"/>
          <w:b/>
          <w:bCs/>
          <w:color w:val="7B4FB5"/>
          <w:sz w:val="18"/>
          <w:szCs w:val="18"/>
        </w:rPr>
        <w:t xml:space="preserve">[ AI-generated ]  </w:t>
      </w:r>
      <w:r>
        <w:rPr>
          <w:rFonts w:ascii="Arial" w:hAnsi="Arial" w:eastAsia="Arial" w:cs="Arial"/>
          <w:i/>
          <w:iCs/>
          <w:color w:val="555555"/>
          <w:sz w:val="18"/>
          <w:szCs w:val="18"/>
        </w:rPr>
        <w:t>Claude suggested the walk-forward validation structure and the QQQ benchmark.</w:t>
      </w:r>
    </w:p>
    <w:p w14:paraId="738E098B">
      <w:pPr>
        <w:spacing w:before="40" w:after="80"/>
      </w:pPr>
      <w:r>
        <w:rPr>
          <w:rFonts w:ascii="Arial" w:hAnsi="Arial" w:eastAsia="Arial" w:cs="Arial"/>
          <w:b/>
          <w:bCs/>
          <w:color w:val="1A6B3C"/>
          <w:sz w:val="18"/>
          <w:szCs w:val="18"/>
        </w:rPr>
        <w:t xml:space="preserve">[ My analysis ]  </w:t>
      </w:r>
      <w:r>
        <w:rPr>
          <w:rFonts w:ascii="Arial" w:hAnsi="Arial" w:eastAsia="Arial" w:cs="Arial"/>
          <w:color w:val="333333"/>
          <w:sz w:val="18"/>
          <w:szCs w:val="18"/>
        </w:rPr>
        <w:t>The decision to require 10 years of data (not just 2022–24) and the explicit warning about one data point not being sufficient are my own.</w:t>
      </w:r>
    </w:p>
    <w:p w14:paraId="2A4DC876">
      <w:pPr>
        <w:pBdr>
          <w:bottom w:val="single" w:color="CCCCCC" w:sz="4" w:space="1"/>
        </w:pBdr>
        <w:spacing w:before="160" w:after="160"/>
      </w:pPr>
    </w:p>
    <w:p w14:paraId="6DE73CE8">
      <w:pPr>
        <w:pStyle w:val="2"/>
        <w:spacing w:before="320" w:after="120"/>
      </w:pPr>
      <w:r>
        <w:rPr>
          <w:rFonts w:ascii="Arial" w:hAnsi="Arial" w:eastAsia="Arial" w:cs="Arial"/>
          <w:b/>
          <w:bCs/>
          <w:color w:val="1A3C6E"/>
          <w:sz w:val="28"/>
          <w:szCs w:val="28"/>
        </w:rPr>
        <w:t>5.  Risks &amp; Weaknesses</w:t>
      </w:r>
    </w:p>
    <w:p w14:paraId="44D3D83E">
      <w:pPr>
        <w:pStyle w:val="3"/>
        <w:spacing w:before="240" w:after="80"/>
      </w:pPr>
      <w:r>
        <w:rPr>
          <w:rFonts w:ascii="Arial" w:hAnsi="Arial" w:eastAsia="Arial" w:cs="Arial"/>
          <w:b/>
          <w:bCs/>
          <w:color w:val="2D6A4F"/>
          <w:sz w:val="24"/>
          <w:szCs w:val="24"/>
        </w:rPr>
        <w:t>Strategy risks</w:t>
      </w:r>
    </w:p>
    <w:p w14:paraId="430CE08E">
      <w:pPr>
        <w:pStyle w:val="16"/>
        <w:numPr>
          <w:ilvl w:val="0"/>
          <w:numId w:val="1"/>
        </w:numPr>
        <w:spacing w:before="40" w:after="40"/>
      </w:pPr>
      <w:r>
        <w:rPr>
          <w:rFonts w:hint="default" w:cs="Arial"/>
          <w:b/>
          <w:bCs/>
          <w:sz w:val="22"/>
          <w:szCs w:val="22"/>
          <w:lang w:val="en-IN"/>
        </w:rPr>
        <w:t xml:space="preserve">Permanent regime break- </w:t>
      </w:r>
      <w:r>
        <w:rPr>
          <w:rFonts w:hint="default" w:cs="Arial"/>
          <w:b w:val="0"/>
          <w:bCs w:val="0"/>
          <w:sz w:val="22"/>
          <w:szCs w:val="22"/>
          <w:lang w:val="en-IN"/>
        </w:rPr>
        <w:t>What if GOOGL is permanently damaged? If people start using AI tools instead of google search, it will lose it’s ad-revenue forever</w:t>
      </w:r>
      <w:r>
        <w:rPr>
          <w:rFonts w:ascii="Arial" w:hAnsi="Arial" w:eastAsia="Arial" w:cs="Arial"/>
          <w:b w:val="0"/>
          <w:bCs w:val="0"/>
          <w:sz w:val="22"/>
          <w:szCs w:val="22"/>
        </w:rPr>
        <w:t>, MSFT/GOOGL may never re-correlate.</w:t>
      </w:r>
    </w:p>
    <w:p w14:paraId="11FBA538">
      <w:pPr>
        <w:pStyle w:val="16"/>
        <w:numPr>
          <w:ilvl w:val="0"/>
          <w:numId w:val="1"/>
        </w:numPr>
        <w:spacing w:before="40" w:after="40"/>
      </w:pPr>
      <w:r>
        <w:rPr>
          <w:rFonts w:hint="default" w:cs="Arial"/>
          <w:b/>
          <w:bCs/>
          <w:sz w:val="22"/>
          <w:szCs w:val="22"/>
          <w:lang w:val="en-IN"/>
        </w:rPr>
        <w:t>Crowding-</w:t>
      </w:r>
      <w:r>
        <w:rPr>
          <w:rFonts w:hint="default" w:cs="Arial"/>
          <w:b w:val="0"/>
          <w:bCs w:val="0"/>
          <w:sz w:val="22"/>
          <w:szCs w:val="22"/>
          <w:lang w:val="en-IN"/>
        </w:rPr>
        <w:t xml:space="preserve"> </w:t>
      </w:r>
      <w:r>
        <w:rPr>
          <w:rFonts w:ascii="Arial" w:hAnsi="Arial" w:eastAsia="Arial" w:cs="Arial"/>
          <w:b w:val="0"/>
          <w:bCs w:val="0"/>
          <w:sz w:val="22"/>
          <w:szCs w:val="22"/>
        </w:rPr>
        <w:t>This pair</w:t>
      </w:r>
      <w:r>
        <w:rPr>
          <w:rFonts w:hint="default" w:cs="Arial"/>
          <w:b w:val="0"/>
          <w:bCs w:val="0"/>
          <w:sz w:val="22"/>
          <w:szCs w:val="22"/>
          <w:lang w:val="en-IN"/>
        </w:rPr>
        <w:t xml:space="preserve"> trade</w:t>
      </w:r>
      <w:r>
        <w:rPr>
          <w:rFonts w:ascii="Arial" w:hAnsi="Arial" w:eastAsia="Arial" w:cs="Arial"/>
          <w:b w:val="0"/>
          <w:bCs w:val="0"/>
          <w:sz w:val="22"/>
          <w:szCs w:val="22"/>
        </w:rPr>
        <w:t xml:space="preserve"> is widely followed. Institutional crowding </w:t>
      </w:r>
      <w:r>
        <w:rPr>
          <w:rFonts w:hint="default" w:cs="Arial"/>
          <w:b w:val="0"/>
          <w:bCs w:val="0"/>
          <w:sz w:val="22"/>
          <w:szCs w:val="22"/>
          <w:lang w:val="en-IN"/>
        </w:rPr>
        <w:t>implies</w:t>
      </w:r>
      <w:r>
        <w:rPr>
          <w:rFonts w:ascii="Arial" w:hAnsi="Arial" w:eastAsia="Arial" w:cs="Arial"/>
          <w:b w:val="0"/>
          <w:bCs w:val="0"/>
          <w:sz w:val="22"/>
          <w:szCs w:val="22"/>
        </w:rPr>
        <w:t xml:space="preserve"> the spread may gap violently before reverting, triggering stop-losses.</w:t>
      </w:r>
      <w:r>
        <w:rPr>
          <w:rFonts w:ascii="Arial" w:hAnsi="Arial" w:eastAsia="Arial" w:cs="Arial"/>
          <w:sz w:val="22"/>
          <w:szCs w:val="22"/>
        </w:rPr>
        <w:t xml:space="preserve"> </w:t>
      </w:r>
    </w:p>
    <w:p w14:paraId="740704E7">
      <w:pPr>
        <w:pStyle w:val="16"/>
        <w:numPr>
          <w:ilvl w:val="0"/>
          <w:numId w:val="1"/>
        </w:numPr>
        <w:spacing w:before="40" w:after="40"/>
      </w:pPr>
      <w:r>
        <w:rPr>
          <w:rFonts w:hint="default" w:cs="Arial"/>
          <w:b/>
          <w:bCs/>
          <w:sz w:val="22"/>
          <w:szCs w:val="22"/>
          <w:lang w:val="en-IN"/>
        </w:rPr>
        <w:t xml:space="preserve">Earnings gap- </w:t>
      </w:r>
      <w:r>
        <w:rPr>
          <w:rFonts w:ascii="Arial" w:hAnsi="Arial" w:eastAsia="Arial" w:cs="Arial"/>
          <w:b w:val="0"/>
          <w:bCs w:val="0"/>
          <w:sz w:val="22"/>
          <w:szCs w:val="22"/>
        </w:rPr>
        <w:t>Both stocks report</w:t>
      </w:r>
      <w:r>
        <w:rPr>
          <w:rFonts w:hint="default" w:cs="Arial"/>
          <w:b w:val="0"/>
          <w:bCs w:val="0"/>
          <w:sz w:val="22"/>
          <w:szCs w:val="22"/>
          <w:lang w:val="en-IN"/>
        </w:rPr>
        <w:t xml:space="preserve"> their financial results</w:t>
      </w:r>
      <w:r>
        <w:rPr>
          <w:rFonts w:ascii="Arial" w:hAnsi="Arial" w:eastAsia="Arial" w:cs="Arial"/>
          <w:b w:val="0"/>
          <w:bCs w:val="0"/>
          <w:sz w:val="22"/>
          <w:szCs w:val="22"/>
        </w:rPr>
        <w:t xml:space="preserve"> quarterly. A surprise result (e.g. GOOGL beats on search) can close the spread overnight, or blow it out further</w:t>
      </w:r>
    </w:p>
    <w:p w14:paraId="0041BAEF">
      <w:pPr>
        <w:pStyle w:val="16"/>
        <w:numPr>
          <w:ilvl w:val="0"/>
          <w:numId w:val="1"/>
        </w:numPr>
        <w:spacing w:before="40" w:after="40"/>
      </w:pPr>
      <w:r>
        <w:rPr>
          <w:rFonts w:hint="default" w:cs="Arial"/>
          <w:b/>
          <w:bCs/>
          <w:sz w:val="22"/>
          <w:szCs w:val="22"/>
          <w:lang w:val="en-IN"/>
        </w:rPr>
        <w:t>Borrow cost-</w:t>
      </w:r>
      <w:r>
        <w:rPr>
          <w:rFonts w:hint="default" w:cs="Arial"/>
          <w:b w:val="0"/>
          <w:bCs w:val="0"/>
          <w:sz w:val="22"/>
          <w:szCs w:val="22"/>
          <w:lang w:val="en-IN"/>
        </w:rPr>
        <w:t xml:space="preserve"> </w:t>
      </w:r>
      <w:r>
        <w:rPr>
          <w:rFonts w:ascii="Arial" w:hAnsi="Arial" w:eastAsia="Arial" w:cs="Arial"/>
          <w:b w:val="0"/>
          <w:bCs w:val="0"/>
          <w:sz w:val="22"/>
          <w:szCs w:val="22"/>
        </w:rPr>
        <w:t>Shorting GOOGL requires stock borrow. In stress periods this can cost 1–3% p.a., eroding P&amp;L</w:t>
      </w:r>
      <w:r>
        <w:rPr>
          <w:rFonts w:ascii="Arial" w:hAnsi="Arial" w:eastAsia="Arial" w:cs="Arial"/>
          <w:b/>
          <w:bCs/>
          <w:sz w:val="22"/>
          <w:szCs w:val="22"/>
        </w:rPr>
        <w:t>.</w:t>
      </w:r>
    </w:p>
    <w:p w14:paraId="3D006556">
      <w:pPr>
        <w:spacing w:before="120" w:after="0"/>
      </w:pPr>
    </w:p>
    <w:p w14:paraId="6EF0C614">
      <w:pPr>
        <w:pStyle w:val="3"/>
        <w:spacing w:before="240" w:after="80"/>
      </w:pPr>
      <w:r>
        <w:rPr>
          <w:rFonts w:ascii="Arial" w:hAnsi="Arial" w:eastAsia="Arial" w:cs="Arial"/>
          <w:b/>
          <w:bCs/>
          <w:color w:val="2D6A4F"/>
          <w:sz w:val="24"/>
          <w:szCs w:val="24"/>
        </w:rPr>
        <w:t>Data &amp; model weaknesses</w:t>
      </w:r>
    </w:p>
    <w:p w14:paraId="45245474">
      <w:pPr>
        <w:pStyle w:val="16"/>
        <w:numPr>
          <w:ilvl w:val="0"/>
          <w:numId w:val="1"/>
        </w:numPr>
        <w:spacing w:before="40" w:after="40"/>
      </w:pPr>
      <w:r>
        <w:rPr>
          <w:rFonts w:hint="default" w:cs="Arial"/>
          <w:b/>
          <w:bCs/>
          <w:sz w:val="22"/>
          <w:szCs w:val="22"/>
          <w:lang w:val="en-IN"/>
        </w:rPr>
        <w:t>Small sample-</w:t>
      </w:r>
      <w:r>
        <w:rPr>
          <w:rFonts w:hint="default" w:cs="Arial"/>
          <w:b w:val="0"/>
          <w:bCs w:val="0"/>
          <w:sz w:val="22"/>
          <w:szCs w:val="22"/>
          <w:lang w:val="en-IN"/>
        </w:rPr>
        <w:t xml:space="preserve"> </w:t>
      </w:r>
      <w:r>
        <w:rPr>
          <w:rFonts w:ascii="Arial" w:hAnsi="Arial" w:eastAsia="Arial" w:cs="Arial"/>
          <w:b w:val="0"/>
          <w:bCs w:val="0"/>
          <w:sz w:val="22"/>
          <w:szCs w:val="22"/>
        </w:rPr>
        <w:t xml:space="preserve">One </w:t>
      </w:r>
      <w:r>
        <w:rPr>
          <w:rFonts w:hint="default" w:cs="Arial"/>
          <w:b w:val="0"/>
          <w:bCs w:val="0"/>
          <w:sz w:val="22"/>
          <w:szCs w:val="22"/>
          <w:lang w:val="en-IN"/>
        </w:rPr>
        <w:t xml:space="preserve">trade </w:t>
      </w:r>
      <w:r>
        <w:rPr>
          <w:rFonts w:ascii="Arial" w:hAnsi="Arial" w:eastAsia="Arial" w:cs="Arial"/>
          <w:b w:val="0"/>
          <w:bCs w:val="0"/>
          <w:sz w:val="22"/>
          <w:szCs w:val="22"/>
        </w:rPr>
        <w:t>signal in the 2022–2024 window is not statistically meaningful. The 10-year backtest is essential.</w:t>
      </w:r>
    </w:p>
    <w:p w14:paraId="4EAE50D8">
      <w:pPr>
        <w:pStyle w:val="16"/>
        <w:numPr>
          <w:ilvl w:val="0"/>
          <w:numId w:val="1"/>
        </w:numPr>
        <w:spacing w:before="40" w:after="40"/>
      </w:pPr>
      <w:r>
        <w:rPr>
          <w:rFonts w:hint="default" w:cs="Arial"/>
          <w:b/>
          <w:bCs/>
          <w:sz w:val="22"/>
          <w:szCs w:val="22"/>
          <w:lang w:val="en-IN"/>
        </w:rPr>
        <w:t xml:space="preserve">Volatility window is too narrow- </w:t>
      </w:r>
      <w:r>
        <w:rPr>
          <w:rFonts w:hint="default" w:cs="Arial"/>
          <w:b w:val="0"/>
          <w:bCs w:val="0"/>
          <w:sz w:val="22"/>
          <w:szCs w:val="22"/>
          <w:lang w:val="en-IN"/>
        </w:rPr>
        <w:t>We saw how volatile NVDA was each month, we only looked back 3 months at a time. That’s just 3 data points.NVDA barely moved in march 2023- drags the whole volatility.</w:t>
      </w:r>
      <w:r>
        <w:rPr>
          <w:rFonts w:ascii="Arial" w:hAnsi="Arial" w:eastAsia="Arial" w:cs="Arial"/>
          <w:b w:val="0"/>
          <w:bCs w:val="0"/>
          <w:sz w:val="22"/>
          <w:szCs w:val="22"/>
        </w:rPr>
        <w:t xml:space="preserve"> A 6-month window would be more stable</w:t>
      </w:r>
      <w:r>
        <w:rPr>
          <w:rFonts w:hint="default" w:cs="Arial"/>
          <w:b w:val="0"/>
          <w:bCs w:val="0"/>
          <w:sz w:val="22"/>
          <w:szCs w:val="22"/>
          <w:lang w:val="en-IN"/>
        </w:rPr>
        <w:t>.</w:t>
      </w:r>
    </w:p>
    <w:p w14:paraId="03310E66">
      <w:pPr>
        <w:pStyle w:val="16"/>
        <w:numPr>
          <w:ilvl w:val="0"/>
          <w:numId w:val="1"/>
        </w:numPr>
        <w:spacing w:before="40" w:after="40"/>
      </w:pPr>
      <w:r>
        <w:rPr>
          <w:rFonts w:hint="default" w:cs="Arial"/>
          <w:b/>
          <w:bCs/>
          <w:sz w:val="22"/>
          <w:szCs w:val="22"/>
          <w:lang w:val="en-IN"/>
        </w:rPr>
        <w:t>Look-ahead bias-</w:t>
      </w:r>
      <w:r>
        <w:rPr>
          <w:rFonts w:hint="default" w:cs="Arial"/>
          <w:b w:val="0"/>
          <w:bCs w:val="0"/>
          <w:sz w:val="22"/>
          <w:szCs w:val="22"/>
          <w:lang w:val="en-IN"/>
        </w:rPr>
        <w:t xml:space="preserve"> We choose</w:t>
      </w:r>
      <w:r>
        <w:rPr>
          <w:rFonts w:ascii="Arial" w:hAnsi="Arial" w:eastAsia="Arial" w:cs="Arial"/>
          <w:b w:val="0"/>
          <w:bCs w:val="0"/>
          <w:sz w:val="22"/>
          <w:szCs w:val="22"/>
        </w:rPr>
        <w:t xml:space="preserve"> 0.60 </w:t>
      </w:r>
      <w:r>
        <w:rPr>
          <w:rFonts w:hint="default" w:cs="Arial"/>
          <w:b w:val="0"/>
          <w:bCs w:val="0"/>
          <w:sz w:val="22"/>
          <w:szCs w:val="22"/>
          <w:lang w:val="en-IN"/>
        </w:rPr>
        <w:t xml:space="preserve">as the </w:t>
      </w:r>
      <w:r>
        <w:rPr>
          <w:rFonts w:ascii="Arial" w:hAnsi="Arial" w:eastAsia="Arial" w:cs="Arial"/>
          <w:b w:val="0"/>
          <w:bCs w:val="0"/>
          <w:sz w:val="22"/>
          <w:szCs w:val="22"/>
        </w:rPr>
        <w:t>threshold by observing the data. Walk-forward test</w:t>
      </w:r>
      <w:r>
        <w:rPr>
          <w:rFonts w:hint="default" w:cs="Arial"/>
          <w:b w:val="0"/>
          <w:bCs w:val="0"/>
          <w:sz w:val="22"/>
          <w:szCs w:val="22"/>
          <w:lang w:val="en-IN"/>
        </w:rPr>
        <w:t xml:space="preserve"> helps fix this</w:t>
      </w:r>
      <w:r>
        <w:rPr>
          <w:rFonts w:ascii="Arial" w:hAnsi="Arial" w:eastAsia="Arial" w:cs="Arial"/>
          <w:b w:val="0"/>
          <w:bCs w:val="0"/>
          <w:sz w:val="22"/>
          <w:szCs w:val="22"/>
        </w:rPr>
        <w:t xml:space="preserve"> corrects, but multiple thresholds (0.50, 0.55, 0.65, 0.70) should be tested.</w:t>
      </w:r>
      <w:r>
        <w:rPr>
          <w:rFonts w:ascii="Arial" w:hAnsi="Arial" w:eastAsia="Arial" w:cs="Arial"/>
          <w:sz w:val="22"/>
          <w:szCs w:val="22"/>
        </w:rPr>
        <w:t xml:space="preserve"> </w:t>
      </w:r>
    </w:p>
    <w:p w14:paraId="29B88F84">
      <w:pPr>
        <w:pStyle w:val="16"/>
        <w:numPr>
          <w:ilvl w:val="0"/>
          <w:numId w:val="1"/>
        </w:numPr>
        <w:spacing w:before="40" w:after="40"/>
      </w:pPr>
      <w:r>
        <w:rPr>
          <w:rFonts w:hint="default" w:cs="Arial"/>
          <w:b/>
          <w:bCs/>
          <w:sz w:val="22"/>
          <w:szCs w:val="22"/>
          <w:lang w:val="en-IN"/>
        </w:rPr>
        <w:t xml:space="preserve">No transaction costs- </w:t>
      </w:r>
      <w:r>
        <w:rPr>
          <w:rFonts w:hint="default" w:cs="Arial"/>
          <w:b w:val="0"/>
          <w:bCs w:val="0"/>
          <w:sz w:val="22"/>
          <w:szCs w:val="22"/>
          <w:lang w:val="en-IN"/>
        </w:rPr>
        <w:t>Our simulation assumed trading is free but in reality it costs a little each time</w:t>
      </w:r>
      <w:r>
        <w:rPr>
          <w:rFonts w:ascii="Arial" w:hAnsi="Arial" w:eastAsia="Arial" w:cs="Arial"/>
          <w:b w:val="0"/>
          <w:bCs w:val="0"/>
          <w:sz w:val="22"/>
          <w:szCs w:val="22"/>
        </w:rPr>
        <w:t xml:space="preserve">. MSFT/GOOGL are highly liquid so this is less </w:t>
      </w:r>
      <w:r>
        <w:rPr>
          <w:rFonts w:hint="default" w:cs="Arial"/>
          <w:b w:val="0"/>
          <w:bCs w:val="0"/>
          <w:sz w:val="22"/>
          <w:szCs w:val="22"/>
          <w:lang w:val="en-IN"/>
        </w:rPr>
        <w:t>important.</w:t>
      </w:r>
    </w:p>
    <w:p w14:paraId="4DF42148">
      <w:pPr>
        <w:pStyle w:val="16"/>
        <w:numPr>
          <w:ilvl w:val="0"/>
          <w:numId w:val="1"/>
        </w:numPr>
        <w:spacing w:before="40" w:after="40"/>
      </w:pPr>
      <w:r>
        <w:rPr>
          <w:rFonts w:hint="default" w:cs="Arial"/>
          <w:b/>
          <w:bCs/>
          <w:sz w:val="22"/>
          <w:szCs w:val="22"/>
          <w:lang w:val="en-IN"/>
        </w:rPr>
        <w:t>Monthly frequency-</w:t>
      </w:r>
      <w:r>
        <w:rPr>
          <w:rFonts w:hint="default" w:cs="Arial"/>
          <w:b w:val="0"/>
          <w:bCs w:val="0"/>
          <w:sz w:val="22"/>
          <w:szCs w:val="22"/>
          <w:lang w:val="en-IN"/>
        </w:rPr>
        <w:t xml:space="preserve"> We used monthly price data</w:t>
      </w:r>
      <w:bookmarkStart w:id="0" w:name="_GoBack"/>
      <w:bookmarkEnd w:id="0"/>
      <w:r>
        <w:rPr>
          <w:rFonts w:hint="default" w:cs="Arial"/>
          <w:b w:val="0"/>
          <w:bCs w:val="0"/>
          <w:sz w:val="22"/>
          <w:szCs w:val="22"/>
          <w:lang w:val="en-IN"/>
        </w:rPr>
        <w:t>. What if the correlation drops below 0.6 mid-month and then recovers before month-end</w:t>
      </w:r>
      <w:r>
        <w:rPr>
          <w:rFonts w:ascii="Arial" w:hAnsi="Arial" w:eastAsia="Arial" w:cs="Arial"/>
          <w:b w:val="0"/>
          <w:bCs w:val="0"/>
          <w:sz w:val="22"/>
          <w:szCs w:val="22"/>
        </w:rPr>
        <w:t>. Daily data would give faster entry/exit and more observations for the backtest.</w:t>
      </w:r>
    </w:p>
    <w:p w14:paraId="456C674B">
      <w:pPr>
        <w:spacing w:before="40" w:after="80"/>
      </w:pPr>
      <w:r>
        <w:rPr>
          <w:rFonts w:ascii="Arial" w:hAnsi="Arial" w:eastAsia="Arial" w:cs="Arial"/>
          <w:b/>
          <w:bCs/>
          <w:color w:val="1A6B3C"/>
          <w:sz w:val="18"/>
          <w:szCs w:val="18"/>
        </w:rPr>
        <w:t xml:space="preserve">[ My analysis ]  </w:t>
      </w:r>
      <w:r>
        <w:rPr>
          <w:rFonts w:ascii="Arial" w:hAnsi="Arial" w:eastAsia="Arial" w:cs="Arial"/>
          <w:color w:val="333333"/>
          <w:sz w:val="18"/>
          <w:szCs w:val="18"/>
        </w:rPr>
        <w:t>All risks are my own. I specifically added the 3-month vol window critique after noticing the suspiciously low NVDA vol reading in Mar 2023 in the real data.</w:t>
      </w:r>
    </w:p>
    <w:p w14:paraId="668607EF">
      <w:pPr>
        <w:spacing w:before="40" w:after="80"/>
      </w:pPr>
      <w:r>
        <w:rPr>
          <w:rFonts w:ascii="Arial" w:hAnsi="Arial" w:eastAsia="Arial" w:cs="Arial"/>
          <w:b/>
          <w:bCs/>
          <w:color w:val="7B4FB5"/>
          <w:sz w:val="18"/>
          <w:szCs w:val="18"/>
        </w:rPr>
        <w:t xml:space="preserve">[ AI-generated ]  </w:t>
      </w:r>
      <w:r>
        <w:rPr>
          <w:rFonts w:ascii="Arial" w:hAnsi="Arial" w:eastAsia="Arial" w:cs="Arial"/>
          <w:i/>
          <w:iCs/>
          <w:color w:val="555555"/>
          <w:sz w:val="18"/>
          <w:szCs w:val="18"/>
        </w:rPr>
        <w:t>Claude helped articulate the borrow cost mechanism and look-ahead bias clearly.</w:t>
      </w:r>
    </w:p>
    <w:p w14:paraId="7E907089">
      <w:pPr>
        <w:pBdr>
          <w:bottom w:val="single" w:color="CCCCCC" w:sz="4" w:space="1"/>
        </w:pBdr>
        <w:spacing w:before="160" w:after="160"/>
      </w:pPr>
    </w:p>
    <w:p w14:paraId="5134E442">
      <w:pPr>
        <w:pStyle w:val="2"/>
        <w:spacing w:before="320" w:after="120"/>
      </w:pPr>
      <w:r>
        <w:rPr>
          <w:rFonts w:ascii="Arial" w:hAnsi="Arial" w:eastAsia="Arial" w:cs="Arial"/>
          <w:b/>
          <w:bCs/>
          <w:color w:val="1A3C6E"/>
          <w:sz w:val="28"/>
          <w:szCs w:val="28"/>
        </w:rPr>
        <w:t>Statement on AI Usage</w:t>
      </w:r>
    </w:p>
    <w:p w14:paraId="090620B7">
      <w:pPr>
        <w:spacing w:before="60" w:after="100"/>
      </w:pPr>
      <w:r>
        <w:rPr>
          <w:rFonts w:ascii="Arial" w:hAnsi="Arial" w:eastAsia="Arial" w:cs="Arial"/>
          <w:sz w:val="22"/>
          <w:szCs w:val="22"/>
        </w:rPr>
        <w:t>I used Claude (Anthropic) as an AI assistant. Precise breakdown:</w:t>
      </w:r>
    </w:p>
    <w:p w14:paraId="56F7A52B">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439AE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2"/>
            <w:tcMar>
              <w:top w:w="80" w:type="dxa"/>
              <w:left w:w="120" w:type="dxa"/>
              <w:bottom w:w="80" w:type="dxa"/>
              <w:right w:w="120" w:type="dxa"/>
            </w:tcMar>
          </w:tcPr>
          <w:p w14:paraId="32A94EDF">
            <w:r>
              <w:rPr>
                <w:rFonts w:ascii="Arial" w:hAnsi="Arial" w:eastAsia="Arial" w:cs="Arial"/>
                <w:b/>
                <w:bCs/>
                <w:sz w:val="20"/>
                <w:szCs w:val="20"/>
              </w:rPr>
              <w:t>Stock selection</w:t>
            </w:r>
          </w:p>
        </w:tc>
        <w:tc>
          <w:tcPr>
            <w:tcW w:w="6240" w:type="dxa"/>
            <w:tcBorders>
              <w:top w:val="single" w:color="CCCCCC" w:sz="0" w:space="0"/>
              <w:left w:val="single" w:color="CCCCCC" w:sz="0" w:space="0"/>
              <w:bottom w:val="single" w:color="CCCCCC" w:sz="0" w:space="0"/>
              <w:right w:val="single" w:color="CCCCCC" w:sz="0" w:space="0"/>
            </w:tcBorders>
            <w:shd w:val="clear" w:color="auto" w:fill="F5F5F2"/>
            <w:tcMar>
              <w:top w:w="80" w:type="dxa"/>
              <w:left w:w="120" w:type="dxa"/>
              <w:bottom w:w="80" w:type="dxa"/>
              <w:right w:w="120" w:type="dxa"/>
            </w:tcMar>
          </w:tcPr>
          <w:p w14:paraId="738B5539">
            <w:r>
              <w:rPr>
                <w:rFonts w:ascii="Arial" w:hAnsi="Arial" w:eastAsia="Arial" w:cs="Arial"/>
                <w:sz w:val="20"/>
                <w:szCs w:val="20"/>
              </w:rPr>
              <w:t>My own — AI not used</w:t>
            </w:r>
          </w:p>
        </w:tc>
      </w:tr>
      <w:tr w14:paraId="198F7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E36362">
            <w:r>
              <w:rPr>
                <w:rFonts w:ascii="Arial" w:hAnsi="Arial" w:eastAsia="Arial" w:cs="Arial"/>
                <w:b/>
                <w:bCs/>
                <w:sz w:val="20"/>
                <w:szCs w:val="20"/>
              </w:rPr>
              <w:t>Data collection</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B2D755">
            <w:r>
              <w:rPr>
                <w:rFonts w:ascii="Arial" w:hAnsi="Arial" w:eastAsia="Arial" w:cs="Arial"/>
                <w:sz w:val="20"/>
                <w:szCs w:val="20"/>
              </w:rPr>
              <w:t>Real Yahoo Finance data via yfinance — AI not used for data</w:t>
            </w:r>
          </w:p>
        </w:tc>
      </w:tr>
      <w:tr w14:paraId="7C32B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2"/>
            <w:tcMar>
              <w:top w:w="80" w:type="dxa"/>
              <w:left w:w="120" w:type="dxa"/>
              <w:bottom w:w="80" w:type="dxa"/>
              <w:right w:w="120" w:type="dxa"/>
            </w:tcMar>
          </w:tcPr>
          <w:p w14:paraId="5F07B1DA">
            <w:r>
              <w:rPr>
                <w:rFonts w:ascii="Arial" w:hAnsi="Arial" w:eastAsia="Arial" w:cs="Arial"/>
                <w:b/>
                <w:bCs/>
                <w:sz w:val="20"/>
                <w:szCs w:val="20"/>
              </w:rPr>
              <w:t>Calculations</w:t>
            </w:r>
          </w:p>
        </w:tc>
        <w:tc>
          <w:tcPr>
            <w:tcW w:w="6240" w:type="dxa"/>
            <w:tcBorders>
              <w:top w:val="single" w:color="CCCCCC" w:sz="0" w:space="0"/>
              <w:left w:val="single" w:color="CCCCCC" w:sz="0" w:space="0"/>
              <w:bottom w:val="single" w:color="CCCCCC" w:sz="0" w:space="0"/>
              <w:right w:val="single" w:color="CCCCCC" w:sz="0" w:space="0"/>
            </w:tcBorders>
            <w:shd w:val="clear" w:color="auto" w:fill="F5F5F2"/>
            <w:tcMar>
              <w:top w:w="80" w:type="dxa"/>
              <w:left w:w="120" w:type="dxa"/>
              <w:bottom w:w="80" w:type="dxa"/>
              <w:right w:w="120" w:type="dxa"/>
            </w:tcMar>
          </w:tcPr>
          <w:p w14:paraId="3C33C01A">
            <w:r>
              <w:rPr>
                <w:rFonts w:ascii="Arial" w:hAnsi="Arial" w:eastAsia="Arial" w:cs="Arial"/>
                <w:sz w:val="20"/>
                <w:szCs w:val="20"/>
              </w:rPr>
              <w:t>Python (math module only) — AI not used, all formulae my own</w:t>
            </w:r>
          </w:p>
        </w:tc>
      </w:tr>
      <w:tr w14:paraId="7B414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2B5F54">
            <w:r>
              <w:rPr>
                <w:rFonts w:ascii="Arial" w:hAnsi="Arial" w:eastAsia="Arial" w:cs="Arial"/>
                <w:b/>
                <w:bCs/>
                <w:sz w:val="20"/>
                <w:szCs w:val="20"/>
              </w:rPr>
              <w:t>Pattern identification</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BA5577">
            <w:r>
              <w:rPr>
                <w:rFonts w:ascii="Arial" w:hAnsi="Arial" w:eastAsia="Arial" w:cs="Arial"/>
                <w:sz w:val="20"/>
                <w:szCs w:val="20"/>
              </w:rPr>
              <w:t>Identified by me from real data; AI helped articulate mechanisms</w:t>
            </w:r>
          </w:p>
        </w:tc>
      </w:tr>
      <w:tr w14:paraId="52E66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2"/>
            <w:tcMar>
              <w:top w:w="80" w:type="dxa"/>
              <w:left w:w="120" w:type="dxa"/>
              <w:bottom w:w="80" w:type="dxa"/>
              <w:right w:w="120" w:type="dxa"/>
            </w:tcMar>
          </w:tcPr>
          <w:p w14:paraId="729D5C70">
            <w:r>
              <w:rPr>
                <w:rFonts w:ascii="Arial" w:hAnsi="Arial" w:eastAsia="Arial" w:cs="Arial"/>
                <w:b/>
                <w:bCs/>
                <w:sz w:val="20"/>
                <w:szCs w:val="20"/>
              </w:rPr>
              <w:t>Trading idea</w:t>
            </w:r>
          </w:p>
        </w:tc>
        <w:tc>
          <w:tcPr>
            <w:tcW w:w="6240" w:type="dxa"/>
            <w:tcBorders>
              <w:top w:val="single" w:color="CCCCCC" w:sz="0" w:space="0"/>
              <w:left w:val="single" w:color="CCCCCC" w:sz="0" w:space="0"/>
              <w:bottom w:val="single" w:color="CCCCCC" w:sz="0" w:space="0"/>
              <w:right w:val="single" w:color="CCCCCC" w:sz="0" w:space="0"/>
            </w:tcBorders>
            <w:shd w:val="clear" w:color="auto" w:fill="F5F5F2"/>
            <w:tcMar>
              <w:top w:w="80" w:type="dxa"/>
              <w:left w:w="120" w:type="dxa"/>
              <w:bottom w:w="80" w:type="dxa"/>
              <w:right w:w="120" w:type="dxa"/>
            </w:tcMar>
          </w:tcPr>
          <w:p w14:paraId="5F799F69">
            <w:r>
              <w:rPr>
                <w:rFonts w:ascii="Arial" w:hAnsi="Arial" w:eastAsia="Arial" w:cs="Arial"/>
                <w:sz w:val="20"/>
                <w:szCs w:val="20"/>
              </w:rPr>
              <w:t>Core intuition mine; AI helped formalise entry/exit rules</w:t>
            </w:r>
          </w:p>
        </w:tc>
      </w:tr>
      <w:tr w14:paraId="297A3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3B5E43">
            <w:r>
              <w:rPr>
                <w:rFonts w:ascii="Arial" w:hAnsi="Arial" w:eastAsia="Arial" w:cs="Arial"/>
                <w:b/>
                <w:bCs/>
                <w:sz w:val="20"/>
                <w:szCs w:val="20"/>
              </w:rPr>
              <w:t>Backtesting plan</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BDB7A2">
            <w:r>
              <w:rPr>
                <w:rFonts w:ascii="Arial" w:hAnsi="Arial" w:eastAsia="Arial" w:cs="Arial"/>
                <w:sz w:val="20"/>
                <w:szCs w:val="20"/>
              </w:rPr>
              <w:t>Co-authored; AI suggested walk-forward structure</w:t>
            </w:r>
          </w:p>
        </w:tc>
      </w:tr>
      <w:tr w14:paraId="093A7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2"/>
            <w:tcMar>
              <w:top w:w="80" w:type="dxa"/>
              <w:left w:w="120" w:type="dxa"/>
              <w:bottom w:w="80" w:type="dxa"/>
              <w:right w:w="120" w:type="dxa"/>
            </w:tcMar>
          </w:tcPr>
          <w:p w14:paraId="2A7DC607">
            <w:r>
              <w:rPr>
                <w:rFonts w:ascii="Arial" w:hAnsi="Arial" w:eastAsia="Arial" w:cs="Arial"/>
                <w:b/>
                <w:bCs/>
                <w:sz w:val="20"/>
                <w:szCs w:val="20"/>
              </w:rPr>
              <w:t>Risk identification</w:t>
            </w:r>
          </w:p>
        </w:tc>
        <w:tc>
          <w:tcPr>
            <w:tcW w:w="6240" w:type="dxa"/>
            <w:tcBorders>
              <w:top w:val="single" w:color="CCCCCC" w:sz="0" w:space="0"/>
              <w:left w:val="single" w:color="CCCCCC" w:sz="0" w:space="0"/>
              <w:bottom w:val="single" w:color="CCCCCC" w:sz="0" w:space="0"/>
              <w:right w:val="single" w:color="CCCCCC" w:sz="0" w:space="0"/>
            </w:tcBorders>
            <w:shd w:val="clear" w:color="auto" w:fill="F5F5F2"/>
            <w:tcMar>
              <w:top w:w="80" w:type="dxa"/>
              <w:left w:w="120" w:type="dxa"/>
              <w:bottom w:w="80" w:type="dxa"/>
              <w:right w:w="120" w:type="dxa"/>
            </w:tcMar>
          </w:tcPr>
          <w:p w14:paraId="6535FFD5">
            <w:r>
              <w:rPr>
                <w:rFonts w:ascii="Arial" w:hAnsi="Arial" w:eastAsia="Arial" w:cs="Arial"/>
                <w:sz w:val="20"/>
                <w:szCs w:val="20"/>
              </w:rPr>
              <w:t>My own; AI helped with precise terminology</w:t>
            </w:r>
          </w:p>
        </w:tc>
      </w:tr>
      <w:tr w14:paraId="74B34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FCD926">
            <w:r>
              <w:rPr>
                <w:rFonts w:ascii="Arial" w:hAnsi="Arial" w:eastAsia="Arial" w:cs="Arial"/>
                <w:b/>
                <w:bCs/>
                <w:sz w:val="20"/>
                <w:szCs w:val="20"/>
              </w:rPr>
              <w:t>Writing &amp; structure</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DE731E">
            <w:r>
              <w:rPr>
                <w:rFonts w:ascii="Arial" w:hAnsi="Arial" w:eastAsia="Arial" w:cs="Arial"/>
                <w:sz w:val="20"/>
                <w:szCs w:val="20"/>
              </w:rPr>
              <w:t>Co-authored; all content reviewed and edited by me</w:t>
            </w:r>
          </w:p>
        </w:tc>
      </w:tr>
    </w:tbl>
    <w:p w14:paraId="0CDEAAFC">
      <w:pPr>
        <w:spacing w:before="160" w:after="0"/>
      </w:pPr>
    </w:p>
    <w:p w14:paraId="0319F68D">
      <w:pPr>
        <w:spacing w:before="60" w:after="100"/>
      </w:pPr>
      <w:r>
        <w:rPr>
          <w:rFonts w:ascii="Arial" w:hAnsi="Arial" w:eastAsia="Arial" w:cs="Arial"/>
          <w:sz w:val="22"/>
          <w:szCs w:val="22"/>
        </w:rPr>
        <w:t>Every AI-assisted passage is labelled [ AI-generated ] in purple. Green [ My analysis ] tags mark wholly original reasoning. Blue [ Data source ] tags cite exact data points. I did not blindly accept any AI output — for example, I extended the time stop from 6 to 9 months after reviewing how long the real divergence lasted, and I flagged the 3-month vol window as a weakness after noticing an anomalous data point in the real series.</w:t>
      </w:r>
    </w:p>
    <w:p w14:paraId="43D453CB">
      <w:pPr>
        <w:spacing w:before="200" w:after="0"/>
      </w:pPr>
    </w:p>
    <w:p w14:paraId="7BF9826A">
      <w:pPr>
        <w:pBdr>
          <w:top w:val="single" w:color="CCCCCC" w:sz="4" w:space="1"/>
        </w:pBdr>
        <w:spacing w:before="0" w:after="0"/>
      </w:pPr>
    </w:p>
    <w:p w14:paraId="22B899D7">
      <w:pPr>
        <w:spacing w:before="120" w:after="0"/>
        <w:jc w:val="center"/>
      </w:pPr>
      <w:r>
        <w:rPr>
          <w:rFonts w:ascii="Arial" w:hAnsi="Arial" w:eastAsia="Arial" w:cs="Arial"/>
          <w:color w:val="888888"/>
          <w:sz w:val="18"/>
          <w:szCs w:val="18"/>
        </w:rPr>
        <w:t>End of submission  ·  Supporting charts generated from real Yahoo Finance data</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2E4FA">
    <w:pPr>
      <w:jc w:val="right"/>
    </w:pPr>
    <w:r>
      <w:rPr>
        <w:rFonts w:ascii="Arial" w:hAnsi="Arial" w:eastAsia="Arial" w:cs="Arial"/>
        <w:color w:val="888888"/>
        <w:sz w:val="18"/>
        <w:szCs w:val="18"/>
      </w:rPr>
      <w:t xml:space="preserve">Tech Equity Analysis  |  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9E5D12"/>
    <w:rsid w:val="170A775C"/>
    <w:rsid w:val="19CB39B5"/>
    <w:rsid w:val="21C32196"/>
    <w:rsid w:val="2400650B"/>
    <w:rsid w:val="2F5A263F"/>
    <w:rsid w:val="52742B53"/>
    <w:rsid w:val="54E96C19"/>
    <w:rsid w:val="7D271E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20"/>
      <w:outlineLvl w:val="0"/>
    </w:pPr>
    <w:rPr>
      <w:rFonts w:ascii="Arial" w:hAnsi="Arial" w:eastAsia="Arial" w:cs="Arial"/>
      <w:b/>
      <w:bCs/>
      <w:sz w:val="28"/>
      <w:szCs w:val="28"/>
    </w:rPr>
  </w:style>
  <w:style w:type="paragraph" w:styleId="3">
    <w:name w:val="heading 2"/>
    <w:next w:val="1"/>
    <w:qFormat/>
    <w:uiPriority w:val="0"/>
    <w:pPr>
      <w:spacing w:before="240" w:after="80"/>
      <w:outlineLvl w:val="1"/>
    </w:pPr>
    <w:rPr>
      <w:rFonts w:ascii="Arial" w:hAnsi="Arial" w:eastAsia="Arial" w:cs="Arial"/>
      <w:b/>
      <w:bCs/>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1466</Words>
  <Characters>8248</Characters>
  <TotalTime>264</TotalTime>
  <ScaleCrop>false</ScaleCrop>
  <LinksUpToDate>false</LinksUpToDate>
  <CharactersWithSpaces>9672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2026-05-21T11:37:00Z</dcterms:created>
  <dc:creator>Un-named</dc:creator>
  <cp:lastModifiedBy>DEVASHISH Yadav</cp:lastModifiedBy>
  <dcterms:modified xsi:type="dcterms:W3CDTF">2026-05-22T04:37:02Z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eyJoZGlkIjoiM2NmYzE0ZDBlYTdhZThkMmE3OGQxYjFmNWQwMjEyNzAiLCJ1c2VySWQiOiI1Njc0MTU3OTUxNTcifQ==</vt:lpwstr>
  </property>
  <property fmtid="{D5CDD505-2E9C-101B-9397-08002B2CF9AE}" pid="3" name="KSOProductBuildVer">
    <vt:lpwstr>1033-12.1.0.26372</vt:lpwstr>
  </property>
  <property fmtid="{D5CDD505-2E9C-101B-9397-08002B2CF9AE}" pid="4" name="ICV">
    <vt:lpwstr>1AEC179523274859A5A1157D7D228B5B_12</vt:lpwstr>
  </property>
</Properties>
</file>