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20smwxvpl52k" w:id="0"/>
      <w:bookmarkEnd w:id="0"/>
      <w:commentRangeStart w:id="0"/>
      <w:r w:rsidDel="00000000" w:rsidR="00000000" w:rsidRPr="00000000">
        <w:rPr>
          <w:rtl w:val="0"/>
        </w:rPr>
        <w:t xml:space="preserve">Cryptography Policy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a0yi6g5yd2xk" w:id="1"/>
      <w:bookmarkEnd w:id="1"/>
      <w:r w:rsidDel="00000000" w:rsidR="00000000" w:rsidRPr="00000000">
        <w:rPr>
          <w:rFonts w:ascii="Plus Jakarta Sans" w:cs="Plus Jakarta Sans" w:eastAsia="Plus Jakarta Sans" w:hAnsi="Plus Jakarta Sans"/>
          <w:b w:val="1"/>
          <w:sz w:val="34"/>
          <w:szCs w:val="34"/>
          <w:rtl w:val="0"/>
        </w:rPr>
        <w:t xml:space="preserve">Purpose</w:t>
      </w:r>
    </w:p>
    <w:p w:rsidR="00000000" w:rsidDel="00000000" w:rsidP="00000000" w:rsidRDefault="00000000" w:rsidRPr="00000000" w14:paraId="00000003">
      <w:pPr>
        <w:numPr>
          <w:ilvl w:val="0"/>
          <w:numId w:val="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proper and effective use of cryptography to protect the confidentiality, authenticity, and/or integrity of information. </w:t>
      </w:r>
    </w:p>
    <w:p w:rsidR="00000000" w:rsidDel="00000000" w:rsidP="00000000" w:rsidRDefault="00000000" w:rsidRPr="00000000" w14:paraId="00000004">
      <w:pPr>
        <w:numPr>
          <w:ilvl w:val="0"/>
          <w:numId w:val="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Establish requirements for the use and protection of cryptographic keys and cryptographic methods throughout the entire encryption lifecycle.</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kaerbu8vumw6"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information systems developed and/or controlled by the company which store or transmit confidential data.</w:t>
      </w:r>
    </w:p>
    <w:p w:rsidR="00000000" w:rsidDel="00000000" w:rsidP="00000000" w:rsidRDefault="00000000" w:rsidRPr="00000000" w14:paraId="00000007">
      <w:pPr>
        <w:pStyle w:val="Title"/>
        <w:keepNext w:val="0"/>
        <w:keepLines w:val="0"/>
        <w:spacing w:after="80" w:lineRule="auto"/>
        <w:rPr/>
      </w:pPr>
      <w:bookmarkStart w:colFirst="0" w:colLast="0" w:name="_321lgu24h29z" w:id="3"/>
      <w:bookmarkEnd w:id="3"/>
      <w:r w:rsidDel="00000000" w:rsidR="00000000" w:rsidRPr="00000000">
        <w:rPr>
          <w:rtl w:val="0"/>
        </w:rPr>
        <w:t xml:space="preserve">Policy</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w:t>
      </w:r>
      <w:r w:rsidDel="00000000" w:rsidR="00000000" w:rsidRPr="00000000">
        <w:rPr>
          <w:rFonts w:ascii="Plus Jakarta Sans" w:cs="Plus Jakarta Sans" w:eastAsia="Plus Jakarta Sans" w:hAnsi="Plus Jakarta Sans"/>
          <w:rtl w:val="0"/>
        </w:rPr>
        <w:t xml:space="preserve"> shall evaluate the risks inherent in processing and storing confidential data and shall implement cryptographic controls to mitigate those risks where deemed appropriate. Where encryption is in use, strong cryptography with associated key management processes and procedures shall be implemented and documented.</w:t>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feasible, encryption shall be performed in accordance with industry standards, including NIST SP 800-57.</w:t>
      </w:r>
    </w:p>
    <w:p w:rsidR="00000000" w:rsidDel="00000000" w:rsidP="00000000" w:rsidRDefault="00000000" w:rsidRPr="00000000" w14:paraId="0000000A">
      <w:pPr>
        <w:spacing w:after="240" w:before="240" w:lineRule="auto"/>
        <w:rPr>
          <w:rFonts w:ascii="Plus Jakarta Sans" w:cs="Plus Jakarta Sans" w:eastAsia="Plus Jakarta Sans" w:hAnsi="Plus Jakarta Sans"/>
          <w:color w:val="1155cc"/>
          <w:u w:val="single"/>
        </w:rPr>
      </w:pPr>
      <w:r w:rsidDel="00000000" w:rsidR="00000000" w:rsidRPr="00000000">
        <w:rPr>
          <w:rFonts w:ascii="Plus Jakarta Sans" w:cs="Plus Jakarta Sans" w:eastAsia="Plus Jakarta Sans" w:hAnsi="Plus Jakarta Sans"/>
          <w:rtl w:val="0"/>
        </w:rPr>
        <w:t xml:space="preserve">Customer or confidential company data must utilize strong ciphers and configurations in accordance with vendor recommendations and industry best practices including</w:t>
      </w:r>
      <w:hyperlink r:id="rId7">
        <w:r w:rsidDel="00000000" w:rsidR="00000000" w:rsidRPr="00000000">
          <w:rPr>
            <w:rFonts w:ascii="Plus Jakarta Sans" w:cs="Plus Jakarta Sans" w:eastAsia="Plus Jakarta Sans" w:hAnsi="Plus Jakarta Sans"/>
            <w:rtl w:val="0"/>
          </w:rPr>
          <w:t xml:space="preserve"> </w:t>
        </w:r>
      </w:hyperlink>
      <w:hyperlink r:id="rId8">
        <w:r w:rsidDel="00000000" w:rsidR="00000000" w:rsidRPr="00000000">
          <w:rPr>
            <w:rFonts w:ascii="Plus Jakarta Sans" w:cs="Plus Jakarta Sans" w:eastAsia="Plus Jakarta Sans" w:hAnsi="Plus Jakarta Sans"/>
            <w:color w:val="1155cc"/>
            <w:u w:val="single"/>
            <w:rtl w:val="0"/>
          </w:rPr>
          <w:t xml:space="preserve">NIST when stored or transferred over a public network. </w:t>
        </w:r>
      </w:hyperlink>
      <w:r w:rsidDel="00000000" w:rsidR="00000000" w:rsidRPr="00000000">
        <w:rPr>
          <w:rtl w:val="0"/>
        </w:rPr>
      </w:r>
    </w:p>
    <w:p w:rsidR="00000000" w:rsidDel="00000000" w:rsidP="00000000" w:rsidRDefault="00000000" w:rsidRPr="00000000" w14:paraId="0000000B">
      <w:pPr>
        <w:pStyle w:val="Heading1"/>
        <w:keepNext w:val="0"/>
        <w:keepLines w:val="0"/>
        <w:rPr/>
      </w:pPr>
      <w:bookmarkStart w:colFirst="0" w:colLast="0" w:name="_1xta9qw4sry2" w:id="4"/>
      <w:bookmarkEnd w:id="4"/>
      <w:r w:rsidDel="00000000" w:rsidR="00000000" w:rsidRPr="00000000">
        <w:rPr>
          <w:rtl w:val="0"/>
        </w:rPr>
        <w:t xml:space="preserve">Key Management</w:t>
      </w:r>
    </w:p>
    <w:p w:rsidR="00000000" w:rsidDel="00000000" w:rsidP="00000000" w:rsidRDefault="00000000" w:rsidRPr="00000000" w14:paraId="000000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to keys and secrets shall be controlled in accordance with the Access Control Policy.</w:t>
      </w:r>
    </w:p>
    <w:p w:rsidR="00000000" w:rsidDel="00000000" w:rsidP="00000000" w:rsidRDefault="00000000" w:rsidRPr="00000000" w14:paraId="0000000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table includes the recommended usage for cryptographic keys to be used when appropriate and feasible:</w:t>
      </w:r>
    </w:p>
    <w:tbl>
      <w:tblPr>
        <w:tblStyle w:val="Table1"/>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715"/>
        <w:gridCol w:w="1790"/>
        <w:gridCol w:w="2195"/>
        <w:gridCol w:w="1400"/>
        <w:tblGridChange w:id="0">
          <w:tblGrid>
            <w:gridCol w:w="1640"/>
            <w:gridCol w:w="1715"/>
            <w:gridCol w:w="1790"/>
            <w:gridCol w:w="2195"/>
            <w:gridCol w:w="14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Key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Key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Max Expiration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RSA or ECC with SHA2+ 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RSA or ECC with SHA2+ 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2048 bit or greater/RSA, 256bit or greater/ECC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 to 1 year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 Cipher (TLS)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Asymmetric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Ciphers of B or greater grade on SSL Labs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Data at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Symmetric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256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 Year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One-way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Bcrypt, PBKDF2, or scrypt, Argon2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256 bit+10K Stretch. Include unique cryptographic salt+pepper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Endpoint Storage (SSD/HDD)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Symmetric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128 or 256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w:t>
            </w:r>
          </w:p>
        </w:tc>
      </w:tr>
    </w:tbl>
    <w:p w:rsidR="00000000" w:rsidDel="00000000" w:rsidP="00000000" w:rsidRDefault="00000000" w:rsidRPr="00000000" w14:paraId="0000002C">
      <w:pPr>
        <w:pStyle w:val="Heading1"/>
        <w:keepNext w:val="0"/>
        <w:keepLines w:val="0"/>
        <w:spacing w:after="80" w:lineRule="auto"/>
        <w:rPr/>
      </w:pPr>
      <w:bookmarkStart w:colFirst="0" w:colLast="0" w:name="_c80kns4h767q" w:id="5"/>
      <w:bookmarkEnd w:id="5"/>
      <w:r w:rsidDel="00000000" w:rsidR="00000000" w:rsidRPr="00000000">
        <w:rPr>
          <w:rtl w:val="0"/>
        </w:rPr>
        <w:t xml:space="preserve">Exceptions</w:t>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color w:val="000018"/>
          <w:highlight w:val="white"/>
          <w:rtl w:val="0"/>
        </w:rPr>
        <w:t xml:space="preserve">The organization does not issue or authorize the use of removable media. However, if a legitimate use case arises, a documented exception is required prior to moving, copying, or storing customer or company confidential data on any media or removable device; all portable devices and removable media containing sensitive data must be encrypted using approved standards and mechanisms.</w:t>
      </w:r>
      <w:r w:rsidDel="00000000" w:rsidR="00000000" w:rsidRPr="00000000">
        <w:rPr>
          <w:rtl w:val="0"/>
        </w:rPr>
      </w:r>
    </w:p>
    <w:p w:rsidR="00000000" w:rsidDel="00000000" w:rsidP="00000000" w:rsidRDefault="00000000" w:rsidRPr="00000000" w14:paraId="0000002E">
      <w:pPr>
        <w:pStyle w:val="Heading1"/>
        <w:keepNext w:val="0"/>
        <w:keepLines w:val="0"/>
        <w:spacing w:after="80" w:lineRule="auto"/>
        <w:rPr/>
      </w:pPr>
      <w:bookmarkStart w:colFirst="0" w:colLast="0" w:name="_lzfky4cjbpl9" w:id="6"/>
      <w:bookmarkEnd w:id="6"/>
      <w:r w:rsidDel="00000000" w:rsidR="00000000" w:rsidRPr="00000000">
        <w:rPr>
          <w:rtl w:val="0"/>
        </w:rPr>
        <w:t xml:space="preserve">Violations &amp; Enforcement</w:t>
      </w:r>
    </w:p>
    <w:p w:rsidR="00000000" w:rsidDel="00000000" w:rsidP="00000000" w:rsidRDefault="00000000" w:rsidRPr="00000000" w14:paraId="0000002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30">
      <w:pPr>
        <w:pStyle w:val="Heading1"/>
        <w:keepNext w:val="0"/>
        <w:keepLines w:val="0"/>
        <w:spacing w:after="80" w:lineRule="auto"/>
        <w:rPr/>
      </w:pPr>
      <w:bookmarkStart w:colFirst="0" w:colLast="0" w:name="_1fob37j9mh20" w:id="7"/>
      <w:bookmarkEnd w:id="7"/>
      <w:r w:rsidDel="00000000" w:rsidR="00000000" w:rsidRPr="00000000">
        <w:rPr>
          <w:rtl w:val="0"/>
        </w:rPr>
        <w:t xml:space="preserve">Document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lus Jakarta Sans" w:cs="Plus Jakarta Sans" w:eastAsia="Plus Jakarta Sans" w:hAnsi="Plus Jakarta Sans"/>
              </w:rPr>
            </w:pPr>
            <w:r w:rsidDel="00000000" w:rsidR="00000000" w:rsidRPr="00000000">
              <w:rPr>
                <w:color w:val="151414"/>
                <w:sz w:val="21"/>
                <w:szCs w:val="21"/>
                <w:highlight w:val="white"/>
                <w:rtl w:val="0"/>
              </w:rPr>
              <w:t xml:space="preserve">Sara Landfors</w:t>
            </w:r>
            <w:r w:rsidDel="00000000" w:rsidR="00000000" w:rsidRPr="00000000">
              <w:rPr>
                <w:rtl w:val="0"/>
              </w:rPr>
            </w:r>
          </w:p>
        </w:tc>
      </w:tr>
    </w:tbl>
    <w:p w:rsidR="00000000" w:rsidDel="00000000" w:rsidP="00000000" w:rsidRDefault="00000000" w:rsidRPr="00000000" w14:paraId="0000003B">
      <w:pPr>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Landfors" w:id="0" w:date="2025-05-22T21:20:53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8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src.nist.gov/projects/cryptographic-standards-and-guidelines" TargetMode="External"/><Relationship Id="rId8" Type="http://schemas.openxmlformats.org/officeDocument/2006/relationships/hyperlink" Target="https://csrc.nist.gov/projects/cryptographic-standards-and-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