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8ogi2av6033" w:id="0"/>
      <w:bookmarkEnd w:id="0"/>
      <w:r w:rsidDel="00000000" w:rsidR="00000000" w:rsidRPr="00000000">
        <w:rPr>
          <w:rtl w:val="0"/>
        </w:rPr>
        <w:t xml:space="preserve">Normain System Description</w:t>
      </w:r>
    </w:p>
    <w:p w:rsidR="00000000" w:rsidDel="00000000" w:rsidP="00000000" w:rsidRDefault="00000000" w:rsidRPr="00000000" w14:paraId="00000002">
      <w:pPr>
        <w:rPr/>
      </w:pPr>
      <w:r w:rsidDel="00000000" w:rsidR="00000000" w:rsidRPr="00000000">
        <w:rPr>
          <w:rtl w:val="0"/>
        </w:rPr>
        <w:t xml:space="preserve">SOC 2 Type 2 examination period: </w:t>
      </w:r>
      <w:r w:rsidDel="00000000" w:rsidR="00000000" w:rsidRPr="00000000">
        <w:rPr>
          <w:b w:val="1"/>
          <w:bCs w:val="1"/>
          <w:rtl w:val="0"/>
        </w:rPr>
        <w:t xml:space="preserve">4 May 2026 – 4 August 2026</w:t>
      </w:r>
      <w:r w:rsidDel="00000000" w:rsidR="00000000" w:rsidRPr="00000000">
        <w:rPr>
          <w:rtl w:val="0"/>
        </w:rPr>
        <w:t xml:space="preserve">. Auditor: Prescient Assurance LLC.</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dd7jy8z0kco0" w:id="1"/>
      <w:bookmarkEnd w:id="1"/>
      <w:r w:rsidDel="00000000" w:rsidR="00000000" w:rsidRPr="00000000">
        <w:rPr>
          <w:rtl w:val="0"/>
        </w:rPr>
        <w:t xml:space="preserve">DC 1 — Company and Services</w:t>
      </w:r>
    </w:p>
    <w:p w:rsidR="00000000" w:rsidDel="00000000" w:rsidP="00000000" w:rsidRDefault="00000000" w:rsidRPr="00000000" w14:paraId="00000006">
      <w:pPr>
        <w:rPr/>
      </w:pPr>
      <w:r w:rsidDel="00000000" w:rsidR="00000000" w:rsidRPr="00000000">
        <w:rPr>
          <w:rtl w:val="0"/>
        </w:rPr>
        <w:t xml:space="preserve">Normain AB (Sweden) provides an AI-powered automation platform that integrates with customer file storage to automate tasks, analyze data, and generate actionable insights.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Hosting modes offered (per Main Agreement):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Shared (Normain-managed)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Customer tenant in Normain's shared Microsoft Azure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Dedicated (Normain-managed)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Customer tenant in a dedicated Microsoft Azure environment operated by Normain.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Customer-hosted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Deployment in a cloud environment provided by the Customer.</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Integration services: SharePoint, Google Drive, Box.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rhbxttid0xve" w:id="2"/>
      <w:bookmarkEnd w:id="2"/>
      <w:r w:rsidDel="00000000" w:rsidR="00000000" w:rsidRPr="00000000">
        <w:rPr>
          <w:rtl w:val="0"/>
        </w:rPr>
        <w:t xml:space="preserve">DC 2 — Principal Service Commitments and System Requirements</w:t>
      </w:r>
    </w:p>
    <w:p w:rsidR="00000000" w:rsidDel="00000000" w:rsidP="00000000" w:rsidRDefault="00000000" w:rsidRPr="00000000" w14:paraId="00000017">
      <w:pPr>
        <w:pStyle w:val="Heading3"/>
        <w:rPr/>
      </w:pPr>
      <w:bookmarkStart w:colFirst="0" w:colLast="0" w:name="_sany9k4gbchd" w:id="3"/>
      <w:bookmarkEnd w:id="3"/>
      <w:r w:rsidDel="00000000" w:rsidR="00000000" w:rsidRPr="00000000">
        <w:rPr>
          <w:rtl w:val="0"/>
        </w:rPr>
        <w:t xml:space="preserve">Service-level commitments (SLA, signed 2025-12-17)</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Platform uptime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Fonts w:ascii="Arial Unicode MS" w:cs="Arial Unicode MS" w:eastAsia="Arial Unicode MS" w:hAnsi="Arial Unicode MS"/>
                <w:rtl w:val="0"/>
              </w:rPr>
              <w:t xml:space="preserve">≥ 99 % per calendar month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Service credit — uptime 90.0 % – 98.9 %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5 % of monthly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Service credit — uptime &lt; 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10 % of monthly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Planned interruptions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Fonts w:ascii="Arial Unicode MS" w:cs="Arial Unicode MS" w:eastAsia="Arial Unicode MS" w:hAnsi="Arial Unicode MS"/>
                <w:rtl w:val="0"/>
              </w:rPr>
              <w:t xml:space="preserve">Max 2 per month, ≤ 4 hours 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Service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Swedish non-holiday weekdays, 08:00 – 22:00 UTC+2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Claim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5 business days from end of affected month</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Service credits do not apply to outages caused by force majeure, customer-attributable issues, or emergency maintenance (full exclusions in the SLA).</w:t>
      </w:r>
    </w:p>
    <w:p w:rsidR="00000000" w:rsidDel="00000000" w:rsidP="00000000" w:rsidRDefault="00000000" w:rsidRPr="00000000" w14:paraId="00000028">
      <w:pPr>
        <w:pStyle w:val="Heading3"/>
        <w:rPr/>
      </w:pPr>
      <w:bookmarkStart w:colFirst="0" w:colLast="0" w:name="_q8d7yi9nhcvb" w:id="4"/>
      <w:bookmarkEnd w:id="4"/>
      <w:r w:rsidDel="00000000" w:rsidR="00000000" w:rsidRPr="00000000">
        <w:rPr>
          <w:rtl w:val="0"/>
        </w:rPr>
        <w:t xml:space="preserve">Regulatory and contractual commitments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GDPR Article 32 technical and organizational measures.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Support for customer DPIAs.</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Personal-data breach notification per DPA.</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Subprocessor change notification: </w:t>
      </w:r>
      <w:r w:rsidDel="00000000" w:rsidR="00000000" w:rsidRPr="00000000">
        <w:rPr>
          <w:b w:val="1"/>
          <w:bCs w:val="1"/>
          <w:rtl w:val="0"/>
        </w:rPr>
        <w:t xml:space="preserve">30 days prior</w:t>
      </w:r>
      <w:r w:rsidDel="00000000" w:rsidR="00000000" w:rsidRPr="00000000">
        <w:rPr>
          <w:rtl w:val="0"/>
        </w:rPr>
        <w:t xml:space="preserve">, with a </w:t>
      </w:r>
      <w:r w:rsidDel="00000000" w:rsidR="00000000" w:rsidRPr="00000000">
        <w:rPr>
          <w:b w:val="1"/>
          <w:bCs w:val="1"/>
          <w:rtl w:val="0"/>
        </w:rPr>
        <w:t xml:space="preserve">14-day customer objection</w:t>
      </w:r>
      <w:r w:rsidDel="00000000" w:rsidR="00000000" w:rsidRPr="00000000">
        <w:rPr>
          <w:rtl w:val="0"/>
        </w:rPr>
        <w:t xml:space="preserve"> right (DPA).</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Data return or erasure on contract termination per DPA.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System requirements (internal): adherence to the Information Security Policy, change-management process, and access-management policy approved by the ISMS Governance Council.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rPr/>
      </w:pPr>
      <w:bookmarkStart w:colFirst="0" w:colLast="0" w:name="_aixs1wplcjg6" w:id="5"/>
      <w:bookmarkEnd w:id="5"/>
      <w:r w:rsidDel="00000000" w:rsidR="00000000" w:rsidRPr="00000000">
        <w:rPr>
          <w:rtl w:val="0"/>
        </w:rPr>
        <w:t xml:space="preserve">DC 3 — System Components</w:t>
      </w:r>
    </w:p>
    <w:p w:rsidR="00000000" w:rsidDel="00000000" w:rsidP="00000000" w:rsidRDefault="00000000" w:rsidRPr="00000000" w14:paraId="00000033">
      <w:pPr>
        <w:pStyle w:val="Heading3"/>
        <w:rPr/>
      </w:pPr>
      <w:bookmarkStart w:colFirst="0" w:colLast="0" w:name="_296shteqs370" w:id="6"/>
      <w:bookmarkEnd w:id="6"/>
      <w:r w:rsidDel="00000000" w:rsidR="00000000" w:rsidRPr="00000000">
        <w:rPr>
          <w:rtl w:val="0"/>
        </w:rPr>
        <w:t xml:space="preserve">3.1 Infrastructure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Cloud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Microsoft Azure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Linux (managed services)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Primary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Azure Database for PostgreSQL — Flexible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Azure Blob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Key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Azure Key Vault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Edge /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Cloudflare</w:t>
            </w:r>
          </w:p>
        </w:tc>
      </w:tr>
    </w:tbl>
    <w:p w:rsidR="00000000" w:rsidDel="00000000" w:rsidP="00000000" w:rsidRDefault="00000000" w:rsidRPr="00000000" w14:paraId="00000042">
      <w:pPr>
        <w:pStyle w:val="Heading3"/>
        <w:rPr/>
      </w:pPr>
      <w:bookmarkStart w:colFirst="0" w:colLast="0" w:name="_3ets499nnfvw" w:id="7"/>
      <w:bookmarkEnd w:id="7"/>
      <w:r w:rsidDel="00000000" w:rsidR="00000000" w:rsidRPr="00000000">
        <w:rPr>
          <w:rtl w:val="0"/>
        </w:rPr>
        <w:t xml:space="preserve">3.2 Software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Normain platform web application, API services, background workers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Data 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Azure PostgreSQL, Azure Blob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Integrations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SharePoint, Google Drive, Box</w:t>
            </w:r>
          </w:p>
        </w:tc>
      </w:tr>
    </w:tbl>
    <w:p w:rsidR="00000000" w:rsidDel="00000000" w:rsidP="00000000" w:rsidRDefault="00000000" w:rsidRPr="00000000" w14:paraId="0000004B">
      <w:pPr>
        <w:pStyle w:val="Heading3"/>
        <w:rPr/>
      </w:pPr>
      <w:bookmarkStart w:colFirst="0" w:colLast="0" w:name="_o2l93stpa9a8" w:id="8"/>
      <w:bookmarkEnd w:id="8"/>
      <w:r w:rsidDel="00000000" w:rsidR="00000000" w:rsidRPr="00000000">
        <w:rPr>
          <w:rtl w:val="0"/>
        </w:rPr>
        <w:t xml:space="preserve">3.3 People</w:t>
      </w:r>
    </w:p>
    <w:p w:rsidR="00000000" w:rsidDel="00000000" w:rsidP="00000000" w:rsidRDefault="00000000" w:rsidRPr="00000000" w14:paraId="0000004C">
      <w:pPr>
        <w:rPr/>
      </w:pPr>
      <w:r w:rsidDel="00000000" w:rsidR="00000000" w:rsidRPr="00000000">
        <w:rPr>
          <w:rtl w:val="0"/>
        </w:rPr>
        <w:t xml:space="preserve">Functions: Engineering, Product, Customer Operations, Go-to-Market, Finance &amp; Legal. ISMS roles assigned per the ISMS Roles &amp; Responsibilities document. The </w:t>
      </w:r>
      <w:r w:rsidDel="00000000" w:rsidR="00000000" w:rsidRPr="00000000">
        <w:rPr>
          <w:b w:val="1"/>
          <w:bCs w:val="1"/>
          <w:rtl w:val="0"/>
        </w:rPr>
        <w:t xml:space="preserve">Chief Technology Officer</w:t>
      </w:r>
      <w:r w:rsidDel="00000000" w:rsidR="00000000" w:rsidRPr="00000000">
        <w:rPr>
          <w:rtl w:val="0"/>
        </w:rPr>
        <w:t xml:space="preserve"> is designated as the Information Security Management Leader and the Data Protection Officer.</w:t>
      </w:r>
    </w:p>
    <w:p w:rsidR="00000000" w:rsidDel="00000000" w:rsidP="00000000" w:rsidRDefault="00000000" w:rsidRPr="00000000" w14:paraId="0000004D">
      <w:pPr>
        <w:pStyle w:val="Heading3"/>
        <w:rPr/>
      </w:pPr>
      <w:bookmarkStart w:colFirst="0" w:colLast="0" w:name="_2hpdbu3wlbse" w:id="9"/>
      <w:bookmarkEnd w:id="9"/>
      <w:r w:rsidDel="00000000" w:rsidR="00000000" w:rsidRPr="00000000">
        <w:rPr>
          <w:rtl w:val="0"/>
        </w:rPr>
        <w:t xml:space="preserve">3.4 Data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Data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rtl w:val="0"/>
              </w:rPr>
              <w:t xml:space="preserve">In transit (customer ↔ platform, platform ↔ subprocessor)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TLS 1.2 or 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At rest (database, blob storage,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AES-256 (Azure platform-managed)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Secrets /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Azure Key Vault</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Customer content submitted to AI features may be processed by named AI subprocessors (OpenAI, Anthropic) as described in DPA Appendix B; no customer data is used to train third-party models.</w:t>
      </w:r>
    </w:p>
    <w:p w:rsidR="00000000" w:rsidDel="00000000" w:rsidP="00000000" w:rsidRDefault="00000000" w:rsidRPr="00000000" w14:paraId="00000058">
      <w:pPr>
        <w:pStyle w:val="Heading3"/>
        <w:rPr/>
      </w:pPr>
      <w:bookmarkStart w:colFirst="0" w:colLast="0" w:name="_5mplpws7oyo" w:id="10"/>
      <w:bookmarkEnd w:id="10"/>
      <w:r w:rsidDel="00000000" w:rsidR="00000000" w:rsidRPr="00000000">
        <w:rPr>
          <w:rtl w:val="0"/>
        </w:rPr>
        <w:t xml:space="preserve">3.5 Third-Party Access — Production Data Path</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Microsoft Azure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Primary cloud infrastructure (sole carved-out subservice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Sentry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Application error and performance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PostHog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Product analytics.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Large-language-model provider (per-feature, customer-opt-in).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Anthropic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Large-language-model provider (per-feature, customer-opt-in).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BetterStack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Uptime monitoring and log aggregation.</w:t>
            </w:r>
          </w:p>
        </w:tc>
      </w:tr>
    </w:tbl>
    <w:p w:rsidR="00000000" w:rsidDel="00000000" w:rsidP="00000000" w:rsidRDefault="00000000" w:rsidRPr="00000000" w14:paraId="00000067">
      <w:pPr>
        <w:pStyle w:val="Heading3"/>
        <w:rPr/>
      </w:pPr>
      <w:bookmarkStart w:colFirst="0" w:colLast="0" w:name="_yluhbzpq5a2w" w:id="11"/>
      <w:bookmarkEnd w:id="11"/>
      <w:r w:rsidDel="00000000" w:rsidR="00000000" w:rsidRPr="00000000">
        <w:rPr>
          <w:rtl w:val="0"/>
        </w:rPr>
        <w:t xml:space="preserve">3.6 Operational Access — No Customer Production Data</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Source-code management, code scanning, dependency alerts.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Enterprise secrets and credentials vault.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Cloudflare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Edge, DNS, WAF.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Engineering ticketing and change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Slack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Internal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Vanta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Continuous compliance monitoring (read access to admin consoles for evidence collection).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Google Workspace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Corporate identity, document storage.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Cursor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Engineering tooling.</w:t>
            </w:r>
          </w:p>
        </w:tc>
      </w:tr>
    </w:tbl>
    <w:p w:rsidR="00000000" w:rsidDel="00000000" w:rsidP="00000000" w:rsidRDefault="00000000" w:rsidRPr="00000000" w14:paraId="0000007A">
      <w:pPr>
        <w:pStyle w:val="Heading3"/>
        <w:rPr/>
      </w:pPr>
      <w:bookmarkStart w:colFirst="0" w:colLast="0" w:name="_q2dg0v56i9vl" w:id="12"/>
      <w:bookmarkEnd w:id="12"/>
      <w:r w:rsidDel="00000000" w:rsidR="00000000" w:rsidRPr="00000000">
        <w:rPr>
          <w:rtl w:val="0"/>
        </w:rPr>
        <w:t xml:space="preserve">3.7 Procedures</w:t>
      </w:r>
    </w:p>
    <w:p w:rsidR="00000000" w:rsidDel="00000000" w:rsidP="00000000" w:rsidRDefault="00000000" w:rsidRPr="00000000" w14:paraId="0000007B">
      <w:pPr>
        <w:rPr/>
      </w:pPr>
      <w:r w:rsidDel="00000000" w:rsidR="00000000" w:rsidRPr="00000000">
        <w:rPr>
          <w:rtl w:val="0"/>
        </w:rPr>
        <w:t xml:space="preserve">System operation procedures are documented in the company's internal knowledge base and cover: access management, change management, vulnerability management, incident response, backup and restore, and vendor management.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aahx5lgwsh0c" w:id="13"/>
      <w:bookmarkEnd w:id="13"/>
      <w:r w:rsidDel="00000000" w:rsidR="00000000" w:rsidRPr="00000000">
        <w:rPr>
          <w:rtl w:val="0"/>
        </w:rPr>
        <w:t xml:space="preserve">DC 4 — Incidents During the Period</w:t>
      </w:r>
    </w:p>
    <w:p w:rsidR="00000000" w:rsidDel="00000000" w:rsidP="00000000" w:rsidRDefault="00000000" w:rsidRPr="00000000" w14:paraId="0000007F">
      <w:pPr>
        <w:rPr/>
      </w:pPr>
      <w:r w:rsidDel="00000000" w:rsidR="00000000" w:rsidRPr="00000000">
        <w:rPr>
          <w:rtl w:val="0"/>
        </w:rPr>
        <w:t xml:space="preserve">No qualifying security incidents (P1 or above, or any incident meeting the customer-notification threshold) have been identified during the audit period as of the draft cut-off date (2026-05-18). This section will be re-verified prior to issuance against the Linear "Security Incident Response" issue type for the full audit window.</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rPr/>
      </w:pPr>
      <w:bookmarkStart w:colFirst="0" w:colLast="0" w:name="_daapdm5plru5" w:id="14"/>
      <w:bookmarkEnd w:id="14"/>
      <w:r w:rsidDel="00000000" w:rsidR="00000000" w:rsidRPr="00000000">
        <w:rPr>
          <w:rtl w:val="0"/>
        </w:rPr>
        <w:t xml:space="preserve">DC 5 — Controls Implemented (CC1 – CC9)</w:t>
      </w:r>
    </w:p>
    <w:p w:rsidR="00000000" w:rsidDel="00000000" w:rsidP="00000000" w:rsidRDefault="00000000" w:rsidRPr="00000000" w14:paraId="00000083">
      <w:pPr>
        <w:rPr/>
      </w:pPr>
      <w:r w:rsidDel="00000000" w:rsidR="00000000" w:rsidRPr="00000000">
        <w:rPr>
          <w:b w:val="1"/>
          <w:bCs w:val="1"/>
          <w:rtl w:val="0"/>
        </w:rPr>
        <w:t xml:space="preserve">Shared governance and review cadence — applies to CC1 – CC9 unless stated otherwise.</w:t>
      </w:r>
      <w:r w:rsidDel="00000000" w:rsidR="00000000" w:rsidRPr="00000000">
        <w:rPr>
          <w:rtl w:val="0"/>
        </w:rPr>
        <w:t xml:space="preserve"> All policies referenced below are owned by the ISMS Governance Council, reviewed at least annually, and approved by the CEO. Control operation is monitored continuously in Vanta, with evidence collected per control. Identified gaps and findings are tracked to closure as Linear tickets.</w:t>
      </w:r>
    </w:p>
    <w:p w:rsidR="00000000" w:rsidDel="00000000" w:rsidP="00000000" w:rsidRDefault="00000000" w:rsidRPr="00000000" w14:paraId="00000084">
      <w:pPr>
        <w:pStyle w:val="Heading3"/>
        <w:rPr/>
      </w:pPr>
      <w:bookmarkStart w:colFirst="0" w:colLast="0" w:name="_emf05v1rwi5r" w:id="15"/>
      <w:bookmarkEnd w:id="15"/>
      <w:r w:rsidDel="00000000" w:rsidR="00000000" w:rsidRPr="00000000">
        <w:rPr>
          <w:rtl w:val="0"/>
        </w:rPr>
        <w:t xml:space="preserve">CC1 — Control Environment</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Information Security Policy, Acceptable Use Policy, and Code of Conduct are acknowledged by all employees and contractors at onboarding.</w:t>
      </w:r>
    </w:p>
    <w:p w:rsidR="00000000" w:rsidDel="00000000" w:rsidP="00000000" w:rsidRDefault="00000000" w:rsidRPr="00000000" w14:paraId="00000086">
      <w:pPr>
        <w:numPr>
          <w:ilvl w:val="0"/>
          <w:numId w:val="1"/>
        </w:numPr>
        <w:ind w:left="720" w:hanging="360"/>
      </w:pPr>
      <w:r w:rsidDel="00000000" w:rsidR="00000000" w:rsidRPr="00000000">
        <w:rPr>
          <w:rtl w:val="0"/>
        </w:rPr>
        <w:t xml:space="preserve">The ISMS Governance Council is chaired by the CTO (also the Information Security Management Leader and DPO) and includes the COO, business-unit delegates, and engineering leadership.</w:t>
      </w:r>
    </w:p>
    <w:p w:rsidR="00000000" w:rsidDel="00000000" w:rsidP="00000000" w:rsidRDefault="00000000" w:rsidRPr="00000000" w14:paraId="00000087">
      <w:pPr>
        <w:numPr>
          <w:ilvl w:val="0"/>
          <w:numId w:val="1"/>
        </w:numPr>
        <w:ind w:left="720" w:hanging="360"/>
      </w:pPr>
      <w:r w:rsidDel="00000000" w:rsidR="00000000" w:rsidRPr="00000000">
        <w:rPr>
          <w:rtl w:val="0"/>
        </w:rPr>
        <w:t xml:space="preserve">Background checks are performed at hire where legally permitted.</w:t>
      </w:r>
    </w:p>
    <w:p w:rsidR="00000000" w:rsidDel="00000000" w:rsidP="00000000" w:rsidRDefault="00000000" w:rsidRPr="00000000" w14:paraId="00000088">
      <w:pPr>
        <w:pStyle w:val="Heading3"/>
        <w:rPr/>
      </w:pPr>
      <w:bookmarkStart w:colFirst="0" w:colLast="0" w:name="_l0ryea8wloxc" w:id="16"/>
      <w:bookmarkEnd w:id="16"/>
      <w:r w:rsidDel="00000000" w:rsidR="00000000" w:rsidRPr="00000000">
        <w:rPr>
          <w:rtl w:val="0"/>
        </w:rPr>
        <w:t xml:space="preserve">CC2 — Communication and Information</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Internal: information security policies, incident-response procedures, and the change-management process are published on the company intranet.</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External: customer-facing commitments are published in the Terms of Service, SLA, and DPA.</w:t>
      </w:r>
    </w:p>
    <w:p w:rsidR="00000000" w:rsidDel="00000000" w:rsidP="00000000" w:rsidRDefault="00000000" w:rsidRPr="00000000" w14:paraId="0000008B">
      <w:pPr>
        <w:pStyle w:val="Heading3"/>
        <w:rPr/>
      </w:pPr>
      <w:bookmarkStart w:colFirst="0" w:colLast="0" w:name="_129w914ri5n2" w:id="17"/>
      <w:bookmarkEnd w:id="17"/>
      <w:r w:rsidDel="00000000" w:rsidR="00000000" w:rsidRPr="00000000">
        <w:rPr>
          <w:rtl w:val="0"/>
        </w:rPr>
        <w:t xml:space="preserve">CC3 — Risk Assessment</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Annual enterprise risk assessment performed by the ISMS Governance Council. Risks are recorded in the risk register with owners, treatment plans, and review dates.</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Fraud risk and changes to the operating environment are considered within the same annual cycle.</w:t>
      </w:r>
    </w:p>
    <w:p w:rsidR="00000000" w:rsidDel="00000000" w:rsidP="00000000" w:rsidRDefault="00000000" w:rsidRPr="00000000" w14:paraId="0000008E">
      <w:pPr>
        <w:pStyle w:val="Heading3"/>
        <w:rPr/>
      </w:pPr>
      <w:bookmarkStart w:colFirst="0" w:colLast="0" w:name="_ccjtt3dlu6l9" w:id="18"/>
      <w:bookmarkEnd w:id="18"/>
      <w:r w:rsidDel="00000000" w:rsidR="00000000" w:rsidRPr="00000000">
        <w:rPr>
          <w:rtl w:val="0"/>
        </w:rPr>
        <w:t xml:space="preserve">CC4 — Monitoring Activities</w:t>
      </w:r>
    </w:p>
    <w:p w:rsidR="00000000" w:rsidDel="00000000" w:rsidP="00000000" w:rsidRDefault="00000000" w:rsidRPr="00000000" w14:paraId="0000008F">
      <w:pPr>
        <w:numPr>
          <w:ilvl w:val="0"/>
          <w:numId w:val="1"/>
        </w:numPr>
        <w:ind w:left="720" w:hanging="360"/>
      </w:pPr>
      <w:r w:rsidDel="00000000" w:rsidR="00000000" w:rsidRPr="00000000">
        <w:rPr>
          <w:rtl w:val="0"/>
        </w:rPr>
        <w:t xml:space="preserve">Continuous control monitoring via Vanta covers all CC1 – CC9 controls.</w:t>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Independent penetration test conducted at least annually (latest report: May 2025 by Cacilian; next round scoped April 2026).</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Backup restore tested at least annually (most recent exercise: 2025-07-22 disaster-recovery tabletop simulating production-database deletion, including full restore from Azure-managed automated backup).</w:t>
      </w:r>
    </w:p>
    <w:p w:rsidR="00000000" w:rsidDel="00000000" w:rsidP="00000000" w:rsidRDefault="00000000" w:rsidRPr="00000000" w14:paraId="00000092">
      <w:pPr>
        <w:pStyle w:val="Heading3"/>
        <w:rPr/>
      </w:pPr>
      <w:bookmarkStart w:colFirst="0" w:colLast="0" w:name="_lnr1iu5o28b" w:id="19"/>
      <w:bookmarkEnd w:id="19"/>
      <w:r w:rsidDel="00000000" w:rsidR="00000000" w:rsidRPr="00000000">
        <w:rPr>
          <w:rtl w:val="0"/>
        </w:rPr>
        <w:t xml:space="preserve">CC5 — Control Activities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Control selection and design is documented and owned by the ISMS Governance Council. Technical controls are implemented in code, infrastructure-as-code, and SaaS configuration.</w:t>
      </w:r>
    </w:p>
    <w:p w:rsidR="00000000" w:rsidDel="00000000" w:rsidP="00000000" w:rsidRDefault="00000000" w:rsidRPr="00000000" w14:paraId="00000094">
      <w:pPr>
        <w:pStyle w:val="Heading3"/>
        <w:rPr/>
      </w:pPr>
      <w:bookmarkStart w:colFirst="0" w:colLast="0" w:name="_wsimvez14bax" w:id="20"/>
      <w:bookmarkEnd w:id="20"/>
      <w:r w:rsidDel="00000000" w:rsidR="00000000" w:rsidRPr="00000000">
        <w:rPr>
          <w:rtl w:val="0"/>
        </w:rPr>
        <w:t xml:space="preserve">CC6 — Logical and Physical Access</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Access is provisioned via a documented onboarding workflow with role-based permissions. Joiner / mover / leaver events trigger access changes within 1 business day.</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User access is reviewed at least annually; </w:t>
      </w:r>
      <w:r w:rsidDel="00000000" w:rsidR="00000000" w:rsidRPr="00000000">
        <w:rPr>
          <w:b w:val="1"/>
          <w:bCs w:val="1"/>
          <w:rtl w:val="0"/>
        </w:rPr>
        <w:t xml:space="preserve">vendor access reviews are performed quarterly</w:t>
      </w:r>
      <w:r w:rsidDel="00000000" w:rsidR="00000000" w:rsidRPr="00000000">
        <w:rPr>
          <w:rtl w:val="0"/>
        </w:rPr>
        <w:t xml:space="preserve"> (latest cycles: 2025-06-19, 2025-10-12, 2026-04-29).</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Multi-factor authentication is enforced on all employee accounts and on all administrative access to production systems.</w:t>
      </w:r>
    </w:p>
    <w:p w:rsidR="00000000" w:rsidDel="00000000" w:rsidP="00000000" w:rsidRDefault="00000000" w:rsidRPr="00000000" w14:paraId="00000098">
      <w:pPr>
        <w:numPr>
          <w:ilvl w:val="0"/>
          <w:numId w:val="1"/>
        </w:numPr>
        <w:ind w:left="720" w:hanging="360"/>
      </w:pPr>
      <w:r w:rsidDel="00000000" w:rsidR="00000000" w:rsidRPr="00000000">
        <w:rPr>
          <w:rtl w:val="0"/>
        </w:rPr>
        <w:t xml:space="preserve">Encryption: TLS 1.2+ in transit; AES-256 at rest (Azure platform-managed); keys managed in Azure Key Vault.</w:t>
      </w:r>
    </w:p>
    <w:p w:rsidR="00000000" w:rsidDel="00000000" w:rsidP="00000000" w:rsidRDefault="00000000" w:rsidRPr="00000000" w14:paraId="00000099">
      <w:pPr>
        <w:pStyle w:val="Heading3"/>
        <w:rPr/>
      </w:pPr>
      <w:bookmarkStart w:colFirst="0" w:colLast="0" w:name="_wyjd3fdw1uzw" w:id="21"/>
      <w:bookmarkEnd w:id="21"/>
      <w:r w:rsidDel="00000000" w:rsidR="00000000" w:rsidRPr="00000000">
        <w:rPr>
          <w:rtl w:val="0"/>
        </w:rPr>
        <w:t xml:space="preserve">CC7 — System Operations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b w:val="1"/>
                <w:bCs w:val="1"/>
              </w:rPr>
            </w:pPr>
            <w:r w:rsidDel="00000000" w:rsidR="00000000" w:rsidRPr="00000000">
              <w:rPr>
                <w:b w:val="1"/>
                <w:bCs w:val="1"/>
                <w:rtl w:val="0"/>
              </w:rPr>
              <w:t xml:space="preserve">Tooling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bCs w:val="1"/>
              </w:rPr>
            </w:pPr>
            <w:r w:rsidDel="00000000" w:rsidR="00000000" w:rsidRPr="00000000">
              <w:rPr>
                <w:b w:val="1"/>
                <w:bCs w:val="1"/>
                <w:rtl w:val="0"/>
              </w:rPr>
              <w:t xml:space="preserve">Cadence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Static application security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GitHub CodeQL (default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Weekly + on push to default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Dependency vulnerability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GitHub Dependabot alerts (auto-update PRs disabled; remediation prioritized via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Continuous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Dynamic application security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OWASP ZAP baseline against production and staging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Container image scanning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Trivy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Weekly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Pre-merge code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Lint, type-check, automated test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Every pull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Production monitoring and alerting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BetterStack (uptime +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24/7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Security alert triage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Arial Unicode MS" w:cs="Arial Unicode MS" w:eastAsia="Arial Unicode MS" w:hAnsi="Arial Unicode MS"/>
                <w:rtl w:val="0"/>
              </w:rPr>
              <w:t xml:space="preserve">GitHub Security Center → Linear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Continuous</w:t>
            </w:r>
          </w:p>
        </w:tc>
      </w:tr>
    </w:tbl>
    <w:p w:rsidR="00000000" w:rsidDel="00000000" w:rsidP="00000000" w:rsidRDefault="00000000" w:rsidRPr="00000000" w14:paraId="000000B2">
      <w:pPr>
        <w:pStyle w:val="Heading3"/>
        <w:rPr/>
      </w:pPr>
      <w:bookmarkStart w:colFirst="0" w:colLast="0" w:name="_26em7171oaxx" w:id="22"/>
      <w:bookmarkEnd w:id="22"/>
      <w:r w:rsidDel="00000000" w:rsidR="00000000" w:rsidRPr="00000000">
        <w:rPr>
          <w:rtl w:val="0"/>
        </w:rPr>
        <w:t xml:space="preserve">CC8 — Change Management</w:t>
      </w:r>
    </w:p>
    <w:p w:rsidR="00000000" w:rsidDel="00000000" w:rsidP="00000000" w:rsidRDefault="00000000" w:rsidRPr="00000000" w14:paraId="000000B3">
      <w:pPr>
        <w:numPr>
          <w:ilvl w:val="0"/>
          <w:numId w:val="1"/>
        </w:numPr>
        <w:ind w:left="720" w:hanging="360"/>
      </w:pPr>
      <w:r w:rsidDel="00000000" w:rsidR="00000000" w:rsidRPr="00000000">
        <w:rPr>
          <w:rtl w:val="0"/>
        </w:rPr>
        <w:t xml:space="preserve">All production code changes flow through a pull request with at least one independent reviewer prior to merge into the default branch.</w:t>
      </w:r>
    </w:p>
    <w:p w:rsidR="00000000" w:rsidDel="00000000" w:rsidP="00000000" w:rsidRDefault="00000000" w:rsidRPr="00000000" w14:paraId="000000B4">
      <w:pPr>
        <w:numPr>
          <w:ilvl w:val="0"/>
          <w:numId w:val="1"/>
        </w:numPr>
        <w:ind w:left="720" w:hanging="360"/>
      </w:pPr>
      <w:r w:rsidDel="00000000" w:rsidR="00000000" w:rsidRPr="00000000">
        <w:rPr>
          <w:rtl w:val="0"/>
        </w:rPr>
        <w:t xml:space="preserve">Deployments are executed by GitHub Actions; release notes are generated automatically.</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Infrastructure changes are managed via Terraform and follow the same review process as application code.</w:t>
      </w:r>
    </w:p>
    <w:p w:rsidR="00000000" w:rsidDel="00000000" w:rsidP="00000000" w:rsidRDefault="00000000" w:rsidRPr="00000000" w14:paraId="000000B6">
      <w:pPr>
        <w:pStyle w:val="Heading3"/>
        <w:rPr/>
      </w:pPr>
      <w:bookmarkStart w:colFirst="0" w:colLast="0" w:name="_oabi31jhmbj2" w:id="23"/>
      <w:bookmarkEnd w:id="23"/>
      <w:r w:rsidDel="00000000" w:rsidR="00000000" w:rsidRPr="00000000">
        <w:rPr>
          <w:rtl w:val="0"/>
        </w:rPr>
        <w:t xml:space="preserve">CC9 — Risk Mitigation: Business Disruption and Vendor Risk</w:t>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The Business Continuity and Disaster Recovery Plan is reviewed annually. An annual tabletop exercise is performed (most recent IR tabletop: 2025-07-04; most recent DR tabletop: 2025-07-22).</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Vendors are risk-assessed at onboarding and re-assessed annually or on material change. The vendor inventory is maintained in the Vendor Master Sheet.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m9zhl1gth429" w:id="24"/>
      <w:bookmarkEnd w:id="24"/>
      <w:r w:rsidDel="00000000" w:rsidR="00000000" w:rsidRPr="00000000">
        <w:rPr>
          <w:rtl w:val="0"/>
        </w:rPr>
        <w:t xml:space="preserve">DC 6 — Complementary User Entity Controls (CUECs)</w:t>
      </w:r>
    </w:p>
    <w:p w:rsidR="00000000" w:rsidDel="00000000" w:rsidP="00000000" w:rsidRDefault="00000000" w:rsidRPr="00000000" w14:paraId="000000BC">
      <w:pPr>
        <w:rPr/>
      </w:pPr>
      <w:r w:rsidDel="00000000" w:rsidR="00000000" w:rsidRPr="00000000">
        <w:rPr>
          <w:rtl w:val="0"/>
        </w:rPr>
        <w:t xml:space="preserve">User entities (customers) are expected to operate the following controls to complement the controls described above. Failure to operate any of these may impair the platform's ability to meet its commitments.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TSC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CUEC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CC1.4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The customer is responsible for performing background or pre-employment screening of its own users granted access to the platform, where legally permitted.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CC2.1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The customer is responsible for the appropriate classification and protection of data submitted to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CC2.3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The customer is responsible for the accuracy, completeness, and authorization of inputs and instructions submitted to the platform by its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CC6.1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The customer is responsible for defining roles, entitlements, and authorization rules for its own users within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CC6.2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The customer is responsible for issuing, storing, rotating, and revoking platform user credentials and API keys belonging to its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CC6.3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The customer is responsible for periodically reviewing the access rights granted to its own users within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CC6.6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The customer is responsible for protecting data in transit between its own systems and the platform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CC6.6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The customer is responsible for the physical and environmental security of end-user devices used to access the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CC8.1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The customer is responsible for configuring its own platform integrations (e.g., SharePoint, Google Drive, Box), including the scope of credentials issued and the data made accessible to the platform.</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rPr/>
      </w:pPr>
      <w:bookmarkStart w:colFirst="0" w:colLast="0" w:name="_b4z4zjtkcwez" w:id="25"/>
      <w:bookmarkEnd w:id="25"/>
      <w:r w:rsidDel="00000000" w:rsidR="00000000" w:rsidRPr="00000000">
        <w:rPr>
          <w:rtl w:val="0"/>
        </w:rPr>
        <w:t xml:space="preserve">DC 7 — Complementary Subservice Organization Controls (CSOCs)</w:t>
      </w:r>
    </w:p>
    <w:p w:rsidR="00000000" w:rsidDel="00000000" w:rsidP="00000000" w:rsidRDefault="00000000" w:rsidRPr="00000000" w14:paraId="000000D5">
      <w:pPr>
        <w:rPr/>
      </w:pPr>
      <w:r w:rsidDel="00000000" w:rsidR="00000000" w:rsidRPr="00000000">
        <w:rPr>
          <w:rtl w:val="0"/>
        </w:rPr>
        <w:t xml:space="preserve">The system uses </w:t>
      </w:r>
      <w:r w:rsidDel="00000000" w:rsidR="00000000" w:rsidRPr="00000000">
        <w:rPr>
          <w:b w:val="1"/>
          <w:bCs w:val="1"/>
          <w:rtl w:val="0"/>
        </w:rPr>
        <w:t xml:space="preserve">Microsoft Azure</w:t>
      </w:r>
      <w:r w:rsidDel="00000000" w:rsidR="00000000" w:rsidRPr="00000000">
        <w:rPr>
          <w:rtl w:val="0"/>
        </w:rPr>
        <w:t xml:space="preserve"> as the sole carved-out subservice organization for the production data path. Other named third parties listed in DC 3.5 either receive non-database telemetry (Sentry, PostHog, BetterStack) or per-request inference traffic (OpenAI, Anthropic) and are not relied on for the trust services criteria below.</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TSC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b w:val="1"/>
                <w:bCs w:val="1"/>
              </w:rPr>
            </w:pPr>
            <w:r w:rsidDel="00000000" w:rsidR="00000000" w:rsidRPr="00000000">
              <w:rPr>
                <w:b w:val="1"/>
                <w:bCs w:val="1"/>
                <w:rtl w:val="0"/>
              </w:rPr>
              <w:t xml:space="preserve">CSOC expected of Microsoft Azure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CC6.4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Physical access controls at Azure data centers.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CC7.2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Environmental controls — fire suppression, power redundancy, temperature, humidity — at Azure data centers.</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Management receives and reviews the Microsoft Azure SOC 2 Type 2 report annually via the Microsoft Service Trust Portal.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je3rklkjfpd9" w:id="26"/>
      <w:bookmarkEnd w:id="26"/>
      <w:r w:rsidDel="00000000" w:rsidR="00000000" w:rsidRPr="00000000">
        <w:rPr>
          <w:rtl w:val="0"/>
        </w:rPr>
        <w:t xml:space="preserve">DC 8 — Trust Services Categories Not in Scope</w:t>
      </w:r>
    </w:p>
    <w:p w:rsidR="00000000" w:rsidDel="00000000" w:rsidP="00000000" w:rsidRDefault="00000000" w:rsidRPr="00000000" w14:paraId="000000E2">
      <w:pPr>
        <w:rPr/>
      </w:pPr>
      <w:r w:rsidDel="00000000" w:rsidR="00000000" w:rsidRPr="00000000">
        <w:rPr>
          <w:rtl w:val="0"/>
        </w:rPr>
        <w:t xml:space="preserve">The following Trust Services Categories are </w:t>
      </w:r>
      <w:r w:rsidDel="00000000" w:rsidR="00000000" w:rsidRPr="00000000">
        <w:rPr>
          <w:b w:val="1"/>
          <w:bCs w:val="1"/>
          <w:rtl w:val="0"/>
        </w:rPr>
        <w:t xml:space="preserve">not in scope</w:t>
      </w:r>
      <w:r w:rsidDel="00000000" w:rsidR="00000000" w:rsidRPr="00000000">
        <w:rPr>
          <w:rtl w:val="0"/>
        </w:rPr>
        <w:t xml:space="preserve"> for this examination: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Availability</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Processing Integrity</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Confidentiality</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Privacy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Physical security is carved out as part of the Microsoft Azure subservice organization (see DC 7); Normain operates fully remotely and maintains no on-premises infrastructure.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9g7wh7xkfcoq" w:id="27"/>
      <w:bookmarkEnd w:id="27"/>
      <w:r w:rsidDel="00000000" w:rsidR="00000000" w:rsidRPr="00000000">
        <w:rPr>
          <w:rtl w:val="0"/>
        </w:rPr>
        <w:t xml:space="preserve">DC 9 — Significant Changes During the Period</w:t>
      </w:r>
    </w:p>
    <w:p w:rsidR="00000000" w:rsidDel="00000000" w:rsidP="00000000" w:rsidRDefault="00000000" w:rsidRPr="00000000" w14:paraId="000000ED">
      <w:pPr>
        <w:rPr/>
      </w:pPr>
      <w:r w:rsidDel="00000000" w:rsidR="00000000" w:rsidRPr="00000000">
        <w:rPr>
          <w:rtl w:val="0"/>
        </w:rPr>
        <w:t xml:space="preserve">No significant changes to the system have been identified during the audit period as of the draft cut-off date (2026-05-18). This section will be re-verified prior to issuance against (a) merges to the default branch of the product repository on or after 2026-05-04, (b) the Linear "Change" issue type for the same window, and (c) published release notes.</w:t>
      </w:r>
    </w:p>
    <w:p w:rsidR="00000000" w:rsidDel="00000000" w:rsidP="00000000" w:rsidRDefault="00000000" w:rsidRPr="00000000" w14:paraId="000000E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