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Kasih Katolik dan Pancasila Menumbuhkan Toleransi </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Nicholas</w:t>
      </w:r>
      <w:r w:rsidDel="00000000" w:rsidR="00000000" w:rsidRPr="00000000">
        <w:rPr>
          <w:rFonts w:ascii="Times New Roman" w:cs="Times New Roman" w:eastAsia="Times New Roman" w:hAnsi="Times New Roman"/>
          <w:sz w:val="24"/>
          <w:szCs w:val="24"/>
          <w:rtl w:val="0"/>
        </w:rPr>
        <w:t xml:space="preserve"> William Sutrisno</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Indonesia adalah bangsa yang berdiri di atas keberagaman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dengan ratusan suku, bahasa, dan agama yang hidup berdampingan. Indonesia memiliki lebih dari </w:t>
      </w:r>
      <w:r w:rsidDel="00000000" w:rsidR="00000000" w:rsidRPr="00000000">
        <w:rPr>
          <w:rFonts w:ascii="Times New Roman" w:cs="Times New Roman" w:eastAsia="Times New Roman" w:hAnsi="Times New Roman"/>
          <w:sz w:val="24"/>
          <w:szCs w:val="24"/>
          <w:rtl w:val="0"/>
        </w:rPr>
        <w:t xml:space="preserve">1.300</w:t>
      </w:r>
      <w:r w:rsidDel="00000000" w:rsidR="00000000" w:rsidRPr="00000000">
        <w:rPr>
          <w:rFonts w:ascii="Times New Roman" w:cs="Times New Roman" w:eastAsia="Times New Roman" w:hAnsi="Times New Roman"/>
          <w:sz w:val="24"/>
          <w:szCs w:val="24"/>
          <w:rtl w:val="0"/>
        </w:rPr>
        <w:t xml:space="preserve"> kelompok etnis dan enam agama resmi. </w:t>
      </w:r>
      <w:r w:rsidDel="00000000" w:rsidR="00000000" w:rsidRPr="00000000">
        <w:rPr>
          <w:rFonts w:ascii="Times New Roman" w:cs="Times New Roman" w:eastAsia="Times New Roman" w:hAnsi="Times New Roman"/>
          <w:sz w:val="24"/>
          <w:szCs w:val="24"/>
          <w:rtl w:val="0"/>
        </w:rPr>
        <w:t xml:space="preserve">Keberagaman ini adalah suatu kekuatan, </w:t>
      </w:r>
      <w:r w:rsidDel="00000000" w:rsidR="00000000" w:rsidRPr="00000000">
        <w:rPr>
          <w:rFonts w:ascii="Times New Roman" w:cs="Times New Roman" w:eastAsia="Times New Roman" w:hAnsi="Times New Roman"/>
          <w:sz w:val="24"/>
          <w:szCs w:val="24"/>
          <w:rtl w:val="0"/>
        </w:rPr>
        <w:t xml:space="preserve">tetapi </w:t>
      </w:r>
      <w:r w:rsidDel="00000000" w:rsidR="00000000" w:rsidRPr="00000000">
        <w:rPr>
          <w:rFonts w:ascii="Times New Roman" w:cs="Times New Roman" w:eastAsia="Times New Roman" w:hAnsi="Times New Roman"/>
          <w:sz w:val="24"/>
          <w:szCs w:val="24"/>
          <w:rtl w:val="0"/>
        </w:rPr>
        <w:t xml:space="preserve">bisa juga menjadi</w:t>
      </w:r>
      <w:r w:rsidDel="00000000" w:rsidR="00000000" w:rsidRPr="00000000">
        <w:rPr>
          <w:rFonts w:ascii="Times New Roman" w:cs="Times New Roman" w:eastAsia="Times New Roman" w:hAnsi="Times New Roman"/>
          <w:sz w:val="24"/>
          <w:szCs w:val="24"/>
          <w:rtl w:val="0"/>
        </w:rPr>
        <w:t xml:space="preserve"> tantangan jika tidak </w:t>
      </w:r>
      <w:r w:rsidDel="00000000" w:rsidR="00000000" w:rsidRPr="00000000">
        <w:rPr>
          <w:rFonts w:ascii="Times New Roman" w:cs="Times New Roman" w:eastAsia="Times New Roman" w:hAnsi="Times New Roman"/>
          <w:sz w:val="24"/>
          <w:szCs w:val="24"/>
          <w:rtl w:val="0"/>
        </w:rPr>
        <w:t xml:space="preserve">dike</w:t>
      </w:r>
      <w:r w:rsidDel="00000000" w:rsidR="00000000" w:rsidRPr="00000000">
        <w:rPr>
          <w:rFonts w:ascii="Times New Roman" w:cs="Times New Roman" w:eastAsia="Times New Roman" w:hAnsi="Times New Roman"/>
          <w:sz w:val="24"/>
          <w:szCs w:val="24"/>
          <w:rtl w:val="0"/>
        </w:rPr>
        <w:t xml:space="preserve">ndalikan</w:t>
      </w:r>
      <w:r w:rsidDel="00000000" w:rsidR="00000000" w:rsidRPr="00000000">
        <w:rPr>
          <w:rFonts w:ascii="Times New Roman" w:cs="Times New Roman" w:eastAsia="Times New Roman" w:hAnsi="Times New Roman"/>
          <w:sz w:val="24"/>
          <w:szCs w:val="24"/>
          <w:rtl w:val="0"/>
        </w:rPr>
        <w:t xml:space="preserve"> dengan baik. Pancasila hadir sebagai yang menyatukan suatu perbedaan (Satryo Vincentius, 2023). Dengan itu, ajaran kasih dalam agama Katolik memberikan landasan moral yang menekan penghormatan terhadap martabat manusia dan kepedulian terhadap sesama. Pertemuan antara Pancasila dan ajaran kasih agama Katolik adalah kunci untuk menumbuhkan toleransi di masyarakat Indonesia.</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Kasih adalah inti dari iman agama Katolik. Dalam Alkitab, Yesus sendiri mengajarkan kepada 12 muridnya bahwa k</w:t>
      </w:r>
      <w:r w:rsidDel="00000000" w:rsidR="00000000" w:rsidRPr="00000000">
        <w:rPr>
          <w:rFonts w:ascii="Times New Roman" w:cs="Times New Roman" w:eastAsia="Times New Roman" w:hAnsi="Times New Roman"/>
          <w:sz w:val="24"/>
          <w:szCs w:val="24"/>
          <w:rtl w:val="0"/>
        </w:rPr>
        <w:t xml:space="preserve">asihilah sesamamu manusia seperti dirimu sendiri (Matius,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22:39). Kasih bukan hanya perasaan, tetapi juga dengan kehormatan, solidaritas, kepedulian, dan memaafkan terhadap orang lain. Ensiklik Fratelli Tutti (Paus Fransiskus, 2020) mengatakan =pentingnya persaudaraan universal, sementara Caritas in Veritate (Paus Benediktus XVI, 2009) menegaskan bahwa kasih adalah dasar pembangunan sosial yang adil. Kasih bukan hanya urusan pribadi, tetapi juga pedoman hidup antara masyarakat Indonesia. </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Dalam praktiknya, ajaran kasih Katolik mendorong umat untuk terlibat dalam kehidupan sosial. Kasih diwujudkan melalui pelayanan kesehatan, pendidikan, dan karya sosial yang terbuka bagi siapa saja, tanpa memandang agama atau latar belakang. Penelitian Juanita dan Agustinus Wisnu Dewantara (2021) tentang umat Katolik di Blitar menunjukkan bahwa toleransi beragama dipraktikkan melalui kerja sama lintas iman dalam kegiatan sosial. Prinsip ini sejalan dengan sila kedua Pancasila, yaitu “Kemanusiaan yang adil dan beradab,” yang menekankan penghormatan terhadap martabat manusia.</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Nilai kasih Katolik memiliki banyak kesamaan dengan Pancasila. Sila kedua menekankan kemanusiaan, sedangkan sila ketiga menekankan persatuan. Keduanya sejalan dengan semangat Katolik yang menekankan </w:t>
      </w:r>
      <w:r w:rsidDel="00000000" w:rsidR="00000000" w:rsidRPr="00000000">
        <w:rPr>
          <w:rFonts w:ascii="Times New Roman" w:cs="Times New Roman" w:eastAsia="Times New Roman" w:hAnsi="Times New Roman"/>
          <w:i w:val="1"/>
          <w:sz w:val="24"/>
          <w:szCs w:val="24"/>
          <w:rtl w:val="0"/>
        </w:rPr>
        <w:t xml:space="preserve">communio</w:t>
      </w:r>
      <w:r w:rsidDel="00000000" w:rsidR="00000000" w:rsidRPr="00000000">
        <w:rPr>
          <w:rFonts w:ascii="Times New Roman" w:cs="Times New Roman" w:eastAsia="Times New Roman" w:hAnsi="Times New Roman"/>
          <w:sz w:val="24"/>
          <w:szCs w:val="24"/>
          <w:rtl w:val="0"/>
        </w:rPr>
        <w:t xml:space="preserve"> atau persekutuan. Konferensi Waligereja Indonesia (KWI) bahkan menyebut Pancasila sebagai rahmat Tuhan bagi bangsa Indonesia, karena mampu menjadi dasar persatuan di tengah perbedaan (KWI, </w:t>
      </w:r>
      <w:r w:rsidDel="00000000" w:rsidR="00000000" w:rsidRPr="00000000">
        <w:rPr>
          <w:rFonts w:ascii="Times New Roman" w:cs="Times New Roman" w:eastAsia="Times New Roman" w:hAnsi="Times New Roman"/>
          <w:sz w:val="24"/>
          <w:szCs w:val="24"/>
          <w:rtl w:val="0"/>
        </w:rPr>
        <w:t xml:space="preserve"> 2017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 berbagai daerah, umat Katolik menunjukkan praktik toleransi yang nyata. Di Yogyakarta, Gereja Katolik aktif dalam dialog lintas agama untuk menjaga kerukunan (Kompasiana,</w:t>
      </w:r>
      <w:r w:rsidDel="00000000" w:rsidR="00000000" w:rsidRPr="00000000">
        <w:rPr>
          <w:rFonts w:ascii="Times New Roman" w:cs="Times New Roman" w:eastAsia="Times New Roman" w:hAnsi="Times New Roman"/>
          <w:sz w:val="24"/>
          <w:szCs w:val="24"/>
          <w:rtl w:val="0"/>
        </w:rPr>
        <w:t xml:space="preserve"> 2015</w:t>
      </w:r>
      <w:r w:rsidDel="00000000" w:rsidR="00000000" w:rsidRPr="00000000">
        <w:rPr>
          <w:rFonts w:ascii="Times New Roman" w:cs="Times New Roman" w:eastAsia="Times New Roman" w:hAnsi="Times New Roman"/>
          <w:sz w:val="24"/>
          <w:szCs w:val="24"/>
          <w:rtl w:val="0"/>
        </w:rPr>
        <w:t xml:space="preserve">). Di Flores, umat Katolik dan Muslim bekerja sama dalam kegiatan sosial, mulai dari pembangunan fasilitas umum hingga bantuan bencana. Di Jakarta, Gereja Katolik sering membuka ruang bagi pertemuan lintas iman. Semua ini menunjukkan bahwa kasih tidak berhenti di altar, tetapi hadir dalam kehidupan sehari-hari.</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Tokoh Katolik Indonesia juga menjadi teladan dalam menghidupi kasih dan toleransi. Romo Mangunwijaya, misalnya, dikenal dengan karya sosialnya yang melampaui batas agama demi kemanusiaan. Kardinal Ignatius Suharyo juga sering menekankan pentingnya Pancasila sebagai dasar persatuan bangsa dalam berbagai pidatonya. Kehadiran tokoh-tokoh ini memperlihatkan bagaimana ajaran kasih Katolik dapat menjadi kekuatan moral bagi bangsa.</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Meski banyak contoh baik, tantangan tetap ada. Fenomena intoleransi, eksklusivisme, dan politisasi agama masih sering muncul. Gereja Katolik dituntut untuk terus menegaskan ajaran kasih sebagai jawaban atas perpecahan sosial. Tantangan lainnya adalah bagaimana menanamkan nilai kasih dan Pancasila kepada generasi muda agar tidak hanya menjadi slogan, tetapi benar-benar dihidupi dalam keseharian.</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Pancasila dan ajaran kasih Katolik bukanlah dua hal yang terpisah, melainkan dua jalan yang saling menguatkan. Keduanya menekan penghormatan terhadap martabat manusia, persatuan, dan keadilan sosial. Kasih menjadi energi moral yang menghidupkan Pancasila, sementara Pancasila menjadi ruang kebangsaan yang Indonesia dapat terus melangkah menuju masa depan yang penuh damai, adil, dan bersatu.</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Referensi:</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https://suara.pctaindonesia.or.id/mengamalkan-pancasila-dalam-terang-iman-katolik</w:t>
        </w:r>
      </w:hyperlink>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https://www.kompasiana.com/alexanderphiliph/550f5b34813311872cbc67bd/toleransi-beragama-dalam-ajaran-gereja-katolik</w:t>
        </w:r>
      </w:hyperlink>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https://www.vatican.va/content/francesco/en/encyclicals/documents/papa-francesco_20201003_enciclica-fratelli-tutti.html</w:t>
        </w:r>
      </w:hyperlink>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https://www.vatican.va/content/benedict-xvi/en/encyclicals/documents/hf_ben-xvi_enc_20090629_caritas-in-veritate.html</w:t>
        </w:r>
      </w:hyperlink>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https://www.dokpenkwi.org/butir-butir-pemikiran-konferensi-nasional-umat-katolik-indonesia/</w:t>
        </w:r>
      </w:hyperlink>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https://ejournal.widyayuwana.ac.id/credendum/issue/view/32</w:t>
        </w:r>
      </w:hyperlink>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journal.widyayuwana.ac.id/credendum/issue/view/32" TargetMode="External"/><Relationship Id="rId10" Type="http://schemas.openxmlformats.org/officeDocument/2006/relationships/hyperlink" Target="https://www.dokpenkwi.org/butir-butir-pemikiran-konferensi-nasional-umat-katolik-indonesia/" TargetMode="External"/><Relationship Id="rId9" Type="http://schemas.openxmlformats.org/officeDocument/2006/relationships/hyperlink" Target="https://www.vatican.va/content/benedict-xvi/en/encyclicals/documents/hf_ben-xvi_enc_20090629_caritas-in-veritate.html" TargetMode="External"/><Relationship Id="rId5" Type="http://schemas.openxmlformats.org/officeDocument/2006/relationships/styles" Target="styles.xml"/><Relationship Id="rId6" Type="http://schemas.openxmlformats.org/officeDocument/2006/relationships/hyperlink" Target="https://suara.pctaindonesia.or.id/mengamalkan-pancasila-dalam-terang-iman-katolik" TargetMode="External"/><Relationship Id="rId7" Type="http://schemas.openxmlformats.org/officeDocument/2006/relationships/hyperlink" Target="https://www.kompasiana.com/alexanderphiliph/550f5b34813311872cbc67bd/toleransi-beragama-dalam-ajaran-gereja-katolik" TargetMode="External"/><Relationship Id="rId8" Type="http://schemas.openxmlformats.org/officeDocument/2006/relationships/hyperlink" Target="https://www.vatican.va/content/francesco/en/encyclicals/documents/papa-francesco_20201003_enciclica-fratelli-tutt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