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90" w:rsidRDefault="00EF0F90" w:rsidP="00EA39D4">
      <w:pPr>
        <w:pStyle w:val="Ttulo"/>
        <w:outlineLvl w:val="0"/>
        <w:rPr>
          <w:color w:val="000000"/>
        </w:rPr>
      </w:pPr>
      <w:bookmarkStart w:id="0" w:name="_Toc510534727"/>
    </w:p>
    <w:p w:rsidR="00EA39D4" w:rsidRPr="0081174F" w:rsidRDefault="00EA39D4" w:rsidP="00EA39D4">
      <w:pPr>
        <w:pStyle w:val="Ttulo"/>
        <w:outlineLvl w:val="0"/>
        <w:rPr>
          <w:color w:val="000000"/>
        </w:rPr>
      </w:pPr>
      <w:r w:rsidRPr="0081174F">
        <w:rPr>
          <w:color w:val="000000"/>
        </w:rPr>
        <w:t>E</w:t>
      </w:r>
      <w:r>
        <w:rPr>
          <w:color w:val="000000"/>
        </w:rPr>
        <w:t xml:space="preserve">stación </w:t>
      </w:r>
      <w:r w:rsidRPr="0081174F">
        <w:rPr>
          <w:color w:val="000000"/>
        </w:rPr>
        <w:t>P</w:t>
      </w:r>
      <w:r>
        <w:rPr>
          <w:color w:val="000000"/>
        </w:rPr>
        <w:t>rincipal</w:t>
      </w:r>
      <w:r w:rsidRPr="0081174F">
        <w:rPr>
          <w:color w:val="000000"/>
        </w:rPr>
        <w:t xml:space="preserve"> </w:t>
      </w:r>
      <w:bookmarkEnd w:id="0"/>
      <w:r w:rsidR="000F6F35">
        <w:rPr>
          <w:color w:val="000000"/>
        </w:rPr>
        <w:t>La Calera Nueva</w:t>
      </w:r>
    </w:p>
    <w:p w:rsidR="00EA39D4" w:rsidRDefault="00EA39D4" w:rsidP="00EA39D4">
      <w:pPr>
        <w:rPr>
          <w:b/>
          <w:color w:val="000000"/>
          <w:sz w:val="28"/>
          <w:szCs w:val="28"/>
        </w:rPr>
      </w:pPr>
      <w:r w:rsidRPr="0081174F">
        <w:rPr>
          <w:b/>
          <w:color w:val="000000"/>
          <w:sz w:val="28"/>
          <w:szCs w:val="28"/>
        </w:rPr>
        <w:t xml:space="preserve">Estimaciones de la Demanda al </w:t>
      </w:r>
      <w:r>
        <w:rPr>
          <w:b/>
          <w:color w:val="000000"/>
          <w:sz w:val="28"/>
          <w:szCs w:val="28"/>
        </w:rPr>
        <w:t>20</w:t>
      </w:r>
      <w:r w:rsidR="00095506">
        <w:rPr>
          <w:b/>
          <w:color w:val="000000"/>
          <w:sz w:val="28"/>
          <w:szCs w:val="28"/>
        </w:rPr>
        <w:t>30</w:t>
      </w:r>
    </w:p>
    <w:p w:rsidR="00EA39D4" w:rsidRPr="0081174F" w:rsidRDefault="00EA39D4" w:rsidP="00EA39D4">
      <w:pPr>
        <w:rPr>
          <w:b/>
          <w:color w:val="000000"/>
          <w:sz w:val="28"/>
          <w:szCs w:val="28"/>
        </w:rPr>
      </w:pPr>
    </w:p>
    <w:p w:rsidR="00EA39D4" w:rsidRDefault="00EA39D4" w:rsidP="00EA39D4">
      <w:pPr>
        <w:jc w:val="center"/>
      </w:pPr>
      <w:r>
        <w:t xml:space="preserve">Tabla 3: Planilla de datos y pronósticos al </w:t>
      </w:r>
      <w:r w:rsidR="00095506">
        <w:t>2030</w:t>
      </w:r>
    </w:p>
    <w:p w:rsidR="00735E98" w:rsidRDefault="00735E98" w:rsidP="00EA39D4"/>
    <w:p w:rsidR="00735E98" w:rsidRDefault="00EF0F90" w:rsidP="00EA39D4">
      <w:r w:rsidRPr="00EF0F90">
        <w:rPr>
          <w:noProof/>
          <w:lang w:eastAsia="es-AR"/>
        </w:rPr>
        <w:drawing>
          <wp:inline distT="0" distB="0" distL="0" distR="0">
            <wp:extent cx="5400040" cy="329555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5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E98" w:rsidRDefault="00735E98" w:rsidP="00EA39D4"/>
    <w:p w:rsidR="00EA39D4" w:rsidRDefault="00EA39D4" w:rsidP="00EA39D4"/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95506" w:rsidRDefault="00095506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0F6F35" w:rsidRDefault="000F6F35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>La figura muestra la gráfica de la demanda histórica y los dos pronósticos. La línea negra indica la evolución de la demanda histórica hasta el 31/12/20</w:t>
      </w:r>
      <w:r w:rsidR="00EE2953">
        <w:rPr>
          <w:rFonts w:cs="Arial"/>
          <w:lang w:val="es-ES"/>
        </w:rPr>
        <w:t>21</w:t>
      </w:r>
      <w:r>
        <w:rPr>
          <w:rFonts w:cs="Arial"/>
          <w:lang w:val="es-ES"/>
        </w:rPr>
        <w:t>. Se muestran los dos pronósticos, la tendencia lineal (trazo de puntos celeste) y el planeamiento 20</w:t>
      </w:r>
      <w:r w:rsidR="00EE2953">
        <w:rPr>
          <w:rFonts w:cs="Arial"/>
          <w:lang w:val="es-ES"/>
        </w:rPr>
        <w:t>22</w:t>
      </w:r>
      <w:r>
        <w:rPr>
          <w:rFonts w:cs="Arial"/>
          <w:lang w:val="es-ES"/>
        </w:rPr>
        <w:t xml:space="preserve"> – 20</w:t>
      </w:r>
      <w:r w:rsidR="00EE2953">
        <w:rPr>
          <w:rFonts w:cs="Arial"/>
          <w:lang w:val="es-ES"/>
        </w:rPr>
        <w:t>30</w:t>
      </w:r>
      <w:r>
        <w:rPr>
          <w:rFonts w:cs="Arial"/>
          <w:lang w:val="es-ES"/>
        </w:rPr>
        <w:t xml:space="preserve"> (trazo continuo verde).</w:t>
      </w: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lang w:val="es-ES"/>
        </w:rPr>
      </w:pPr>
    </w:p>
    <w:p w:rsidR="00EA39D4" w:rsidRDefault="00EA39D4" w:rsidP="00EA39D4"/>
    <w:p w:rsidR="00EA39D4" w:rsidRDefault="00EA39D4" w:rsidP="00EA39D4">
      <w:pPr>
        <w:jc w:val="center"/>
        <w:rPr>
          <w:lang w:val="es-ES"/>
        </w:rPr>
      </w:pPr>
      <w:proofErr w:type="gramStart"/>
      <w:r>
        <w:t xml:space="preserve">Figura </w:t>
      </w:r>
      <w:r w:rsidRPr="00C1002E">
        <w:rPr>
          <w:lang w:val="es-ES"/>
        </w:rPr>
        <w:t>:</w:t>
      </w:r>
      <w:proofErr w:type="gramEnd"/>
      <w:r w:rsidRPr="00C1002E">
        <w:rPr>
          <w:lang w:val="es-ES"/>
        </w:rPr>
        <w:t xml:space="preserve"> </w:t>
      </w:r>
      <w:r>
        <w:rPr>
          <w:lang w:val="es-ES"/>
        </w:rPr>
        <w:t xml:space="preserve">Gráfico de demanda histórica y pronósticos al </w:t>
      </w:r>
      <w:r w:rsidR="00095506">
        <w:rPr>
          <w:lang w:val="es-ES"/>
        </w:rPr>
        <w:t>2030</w:t>
      </w:r>
    </w:p>
    <w:p w:rsidR="000F6F35" w:rsidRDefault="000F6F35" w:rsidP="00EA39D4">
      <w:pPr>
        <w:jc w:val="center"/>
        <w:rPr>
          <w:lang w:val="es-ES"/>
        </w:rPr>
      </w:pPr>
      <w:r w:rsidRPr="000F6F35">
        <w:rPr>
          <w:noProof/>
          <w:lang w:eastAsia="es-AR"/>
        </w:rPr>
        <w:drawing>
          <wp:inline distT="0" distB="0" distL="0" distR="0">
            <wp:extent cx="5973717" cy="368617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309" cy="3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506" w:rsidRDefault="00095506" w:rsidP="00EA39D4">
      <w:pPr>
        <w:jc w:val="center"/>
      </w:pPr>
    </w:p>
    <w:p w:rsidR="00EA39D4" w:rsidRDefault="00EA39D4" w:rsidP="00EA39D4">
      <w:pPr>
        <w:jc w:val="center"/>
      </w:pPr>
    </w:p>
    <w:p w:rsidR="00EA39D4" w:rsidRDefault="00EA39D4" w:rsidP="00EA39D4">
      <w:pPr>
        <w:rPr>
          <w:rFonts w:cs="Arial"/>
          <w:b/>
          <w:lang w:val="es-ES"/>
        </w:rPr>
      </w:pPr>
    </w:p>
    <w:p w:rsidR="00EA39D4" w:rsidRDefault="00EA39D4" w:rsidP="00EE2953">
      <w:pPr>
        <w:rPr>
          <w:rFonts w:cs="Arial"/>
          <w:lang w:val="es-ES"/>
        </w:rPr>
      </w:pPr>
      <w:r w:rsidRPr="00075C90">
        <w:rPr>
          <w:rFonts w:cs="Arial"/>
          <w:b/>
          <w:lang w:val="es-ES"/>
        </w:rPr>
        <w:t>Conclusión</w:t>
      </w:r>
      <w:r w:rsidRPr="00075C90">
        <w:rPr>
          <w:rFonts w:cs="Arial"/>
          <w:lang w:val="es-ES"/>
        </w:rPr>
        <w:t xml:space="preserve"> </w:t>
      </w:r>
    </w:p>
    <w:p w:rsidR="00EE2953" w:rsidRDefault="00EE2953" w:rsidP="00EE2953">
      <w:pPr>
        <w:rPr>
          <w:rFonts w:cs="Arial"/>
          <w:lang w:val="es-ES"/>
        </w:rPr>
      </w:pPr>
      <w:r>
        <w:rPr>
          <w:rFonts w:cs="Arial"/>
          <w:lang w:val="es-ES"/>
        </w:rPr>
        <w:t xml:space="preserve">En el SITEC tenemos datos desde el año 2014. En el año 2016 la estación </w:t>
      </w:r>
      <w:r w:rsidR="00EF0F90">
        <w:rPr>
          <w:rFonts w:cs="Arial"/>
          <w:lang w:val="es-ES"/>
        </w:rPr>
        <w:t>sufrió</w:t>
      </w:r>
      <w:r>
        <w:rPr>
          <w:rFonts w:cs="Arial"/>
          <w:lang w:val="es-ES"/>
        </w:rPr>
        <w:t xml:space="preserve"> un pico del 90 % de carga de los transformadores. </w:t>
      </w:r>
      <w:r w:rsidR="00EF0F90">
        <w:rPr>
          <w:rFonts w:cs="Arial"/>
          <w:lang w:val="es-ES"/>
        </w:rPr>
        <w:t xml:space="preserve">La figura muestra una saturación para el año 2026 teórica. </w:t>
      </w:r>
      <w:bookmarkStart w:id="1" w:name="_GoBack"/>
      <w:bookmarkEnd w:id="1"/>
      <w:r w:rsidR="00EF0F90">
        <w:rPr>
          <w:rFonts w:cs="Arial"/>
          <w:lang w:val="es-ES"/>
        </w:rPr>
        <w:t xml:space="preserve">Dependería mucho del crecimiento económico de la zona alimentada y factores extremos climáticos. Se recomienda planear una repotenciación de la estación. </w:t>
      </w:r>
    </w:p>
    <w:p w:rsidR="00EF0F90" w:rsidRPr="00042C2A" w:rsidRDefault="00EF0F90" w:rsidP="00EE2953">
      <w:pPr>
        <w:rPr>
          <w:rFonts w:cs="Arial"/>
          <w:lang w:val="es-ES"/>
        </w:rPr>
      </w:pPr>
    </w:p>
    <w:p w:rsidR="00C41119" w:rsidRDefault="00C41119"/>
    <w:sectPr w:rsidR="00C41119" w:rsidSect="00095506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D4"/>
    <w:rsid w:val="00095506"/>
    <w:rsid w:val="000F6F35"/>
    <w:rsid w:val="00735E98"/>
    <w:rsid w:val="009A10EF"/>
    <w:rsid w:val="00C41119"/>
    <w:rsid w:val="00EA39D4"/>
    <w:rsid w:val="00EE2953"/>
    <w:rsid w:val="00EF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5999"/>
  <w15:chartTrackingRefBased/>
  <w15:docId w15:val="{7454E342-C7E0-4BE3-BAF1-42829CCB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D4"/>
    <w:pPr>
      <w:spacing w:after="200" w:line="276" w:lineRule="auto"/>
    </w:pPr>
    <w:rPr>
      <w:rFonts w:ascii="Arial" w:eastAsia="Times New Roman" w:hAnsi="Arial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99"/>
    <w:qFormat/>
    <w:rsid w:val="00EA39D4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rsid w:val="00EA39D4"/>
    <w:rPr>
      <w:rFonts w:ascii="Arial" w:eastAsia="Times New Roman" w:hAnsi="Arial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4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 Provincial de Energía de Córdoba (EPEC)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Busso</dc:creator>
  <cp:keywords/>
  <dc:description/>
  <cp:lastModifiedBy>Daniel Busso</cp:lastModifiedBy>
  <cp:revision>4</cp:revision>
  <dcterms:created xsi:type="dcterms:W3CDTF">2022-09-14T15:32:00Z</dcterms:created>
  <dcterms:modified xsi:type="dcterms:W3CDTF">2022-09-14T15:53:00Z</dcterms:modified>
</cp:coreProperties>
</file>