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charts/_rels/chart1.xml.rels" ContentType="application/vnd.openxmlformats-package.relationships+xml"/>
  <Override PartName="/word/charts/chart1.xml" ContentType="application/vnd.openxmlformats-officedocument.drawingml.chart+xml"/>
  <Override PartName="/word/embeddings/Microsoft_Excel_Sheet1.xlsx" ContentType="application/vnd.openxmlformats-officedocument.spreadsheetml.shee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tabs>
          <w:tab w:val="clear" w:pos="720"/>
          <w:tab w:val="center" w:pos="4677" w:leader="none"/>
          <w:tab w:val="right" w:pos="9355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tabs>
          <w:tab w:val="clear" w:pos="720"/>
          <w:tab w:val="left" w:pos="42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«НАЦИОНАЛЬНЫЙ ИССЛЕДОВАТЕЛЬСКИЙ УНИВЕРСИТЕТ ИТМО»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mallCaps/>
          <w:sz w:val="24"/>
          <w:szCs w:val="24"/>
        </w:rPr>
      </w:pPr>
      <w:r>
        <w:rPr>
          <w:rFonts w:eastAsia="Times New Roman" w:cs="Times New Roman" w:ascii="Times New Roman" w:hAnsi="Times New Roman"/>
          <w:smallCaps/>
          <w:sz w:val="24"/>
          <w:szCs w:val="24"/>
        </w:rPr>
      </w:r>
    </w:p>
    <w:p>
      <w:pPr>
        <w:pStyle w:val="Normal"/>
        <w:spacing w:lineRule="auto" w:line="240" w:before="0" w:after="1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Отчет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 дисциплине «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Культура безопасности жизнедеятельности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» 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bookmarkStart w:id="0" w:name="_heading=h.gjdgxs"/>
      <w:bookmarkStart w:id="1" w:name="_heading=h.gjdgxs"/>
      <w:bookmarkEnd w:id="1"/>
    </w:p>
    <w:p>
      <w:pPr>
        <w:pStyle w:val="Normal"/>
        <w:spacing w:lineRule="auto" w:line="288" w:before="120" w:after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Автор: Охрименко  А.Д.</w:t>
      </w:r>
    </w:p>
    <w:p>
      <w:pPr>
        <w:pStyle w:val="Normal"/>
        <w:spacing w:lineRule="auto" w:line="288" w:before="120" w:after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Факультет:  СУиР</w:t>
      </w:r>
    </w:p>
    <w:p>
      <w:pPr>
        <w:pStyle w:val="Normal"/>
        <w:spacing w:lineRule="auto" w:line="288" w:before="120" w:after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Группа: R3135 </w:t>
      </w:r>
    </w:p>
    <w:p>
      <w:pPr>
        <w:pStyle w:val="Normal"/>
        <w:spacing w:lineRule="auto" w:line="288" w:before="120" w:after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Преподавател</w:t>
      </w:r>
      <w:r>
        <w:rPr>
          <w:rFonts w:eastAsia="Times New Roman" w:cs="Times New Roman" w:ascii="Times New Roman" w:hAnsi="Times New Roman"/>
          <w:sz w:val="24"/>
          <w:szCs w:val="24"/>
        </w:rPr>
        <w:t>и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:</w:t>
      </w:r>
    </w:p>
    <w:p>
      <w:pPr>
        <w:pStyle w:val="Normal"/>
        <w:spacing w:lineRule="auto" w:line="288" w:before="120" w:after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Быковская Елена Александровна</w:t>
      </w:r>
    </w:p>
    <w:p>
      <w:pPr>
        <w:pStyle w:val="Normal"/>
        <w:spacing w:lineRule="auto" w:line="288" w:before="120" w:after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Тимофеева Ирина Валерьевна</w:t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center"/>
        <w:rPr/>
      </w:pPr>
      <w:r>
        <w:rPr/>
      </w:r>
    </w:p>
    <w:p>
      <w:pPr>
        <w:pStyle w:val="Normal"/>
        <w:spacing w:lineRule="auto" w:line="240" w:before="240" w:after="200"/>
        <w:jc w:val="center"/>
        <w:rPr/>
      </w:pPr>
      <w:r>
        <w:rPr/>
      </w:r>
    </w:p>
    <w:p>
      <w:pPr>
        <w:pStyle w:val="Normal"/>
        <w:spacing w:lineRule="auto" w:line="240" w:before="240" w:after="200"/>
        <w:jc w:val="center"/>
        <w:rPr/>
      </w:pPr>
      <w:r>
        <w:rPr/>
      </w:r>
    </w:p>
    <w:p>
      <w:pPr>
        <w:pStyle w:val="Normal"/>
        <w:spacing w:lineRule="auto" w:line="240" w:before="240" w:after="200"/>
        <w:jc w:val="center"/>
        <w:rPr/>
      </w:pPr>
      <w:r>
        <w:rPr/>
      </w:r>
    </w:p>
    <w:p>
      <w:pPr>
        <w:pStyle w:val="Normal"/>
        <w:spacing w:lineRule="auto" w:line="240" w:before="240" w:after="200"/>
        <w:jc w:val="center"/>
        <w:rPr/>
      </w:pPr>
      <w:r>
        <w:rPr/>
      </w:r>
    </w:p>
    <w:p>
      <w:pPr>
        <w:pStyle w:val="Normal"/>
        <w:spacing w:lineRule="auto" w:line="240" w:before="240" w:after="200"/>
        <w:jc w:val="center"/>
        <w:rPr/>
      </w:pPr>
      <w:r>
        <w:rPr/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</w:t>
      </w:r>
      <w:r>
        <w:rPr/>
        <w:drawing>
          <wp:inline distT="0" distB="0" distL="0" distR="0">
            <wp:extent cx="1849120" cy="73025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360"/>
        <w:ind w:firstLine="14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Санкт-Петербург 2023</w:t>
      </w:r>
    </w:p>
    <w:p>
      <w:pPr>
        <w:pStyle w:val="Normal"/>
        <w:shd w:val="clear" w:fill="FFFFFF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Цель работы: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Задачи работы: </w:t>
      </w:r>
    </w:p>
    <w:p>
      <w:pPr>
        <w:pStyle w:val="Normal"/>
        <w:numPr>
          <w:ilvl w:val="0"/>
          <w:numId w:val="1"/>
        </w:numPr>
        <w:spacing w:lineRule="auto" w:line="240" w:before="0" w:after="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>
      <w:pPr>
        <w:pStyle w:val="Normal"/>
        <w:numPr>
          <w:ilvl w:val="0"/>
          <w:numId w:val="1"/>
        </w:numPr>
        <w:spacing w:lineRule="auto" w:line="240" w:before="0" w:after="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изучить товары с экомаркировкой и товары гринвошинга, представленные в настоящий момент на рынке товаров и услуг;</w:t>
      </w:r>
    </w:p>
    <w:p>
      <w:pPr>
        <w:pStyle w:val="Normal"/>
        <w:numPr>
          <w:ilvl w:val="0"/>
          <w:numId w:val="1"/>
        </w:numPr>
        <w:spacing w:lineRule="auto" w:line="240" w:before="0" w:after="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trike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Задание 1. Концепция «Ноль отходов»</w:t>
      </w:r>
    </w:p>
    <w:p>
      <w:pPr>
        <w:pStyle w:val="Normal"/>
        <w:numPr>
          <w:ilvl w:val="0"/>
          <w:numId w:val="2"/>
        </w:numPr>
        <w:spacing w:lineRule="auto" w:line="240" w:before="0" w:after="0"/>
        <w:ind w:left="720" w:hanging="36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Таблица 1 – Анализ возможности реализации раздельного сбора в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“укажите адрес или объект”</w:t>
      </w:r>
    </w:p>
    <w:tbl>
      <w:tblPr>
        <w:tblStyle w:val="Table1"/>
        <w:tblW w:w="10664" w:type="dxa"/>
        <w:jc w:val="left"/>
        <w:tblInd w:w="-64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227"/>
        <w:gridCol w:w="6436"/>
      </w:tblGrid>
      <w:tr>
        <w:trPr/>
        <w:tc>
          <w:tcPr>
            <w:tcW w:w="4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Преимущества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3"/>
              <w:widowControl w:val="false"/>
              <w:spacing w:before="200" w:after="0"/>
              <w:jc w:val="both"/>
              <w:rPr>
                <w:rFonts w:ascii="Cambria" w:hAnsi="Cambria" w:eastAsia="" w:cs="" w:asciiTheme="majorHAnsi" w:cstheme="majorBidi" w:eastAsiaTheme="majorEastAsia" w:hAnsiTheme="majorHAnsi"/>
                <w:b/>
                <w:b/>
                <w:bCs/>
                <w:i w:val="false"/>
                <w:i w:val="false"/>
                <w:iCs w:val="false"/>
                <w:color w:val="000000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Экономические выгоды:</w:t>
            </w:r>
          </w:p>
          <w:p>
            <w:pPr>
              <w:pStyle w:val="Style15"/>
              <w:widowControl w:val="false"/>
              <w:numPr>
                <w:ilvl w:val="0"/>
                <w:numId w:val="5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spacing w:before="0" w:after="0"/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>Повышение эффективности переработки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Отсортированный мусор легче перерабатывать, что снижает стоимость этого процесса.</w:t>
            </w:r>
          </w:p>
          <w:p>
            <w:pPr>
              <w:pStyle w:val="Style15"/>
              <w:widowControl w:val="false"/>
              <w:numPr>
                <w:ilvl w:val="0"/>
                <w:numId w:val="5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spacing w:before="0" w:after="0"/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>Создание рабочих мест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Развитие инфраструктуры для раздельного сбора и переработки отходов может создать новые рабочие места.</w:t>
            </w:r>
          </w:p>
          <w:p>
            <w:pPr>
              <w:pStyle w:val="Style15"/>
              <w:widowControl w:val="false"/>
              <w:numPr>
                <w:ilvl w:val="0"/>
                <w:numId w:val="5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>Продажа ресурсов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Некоторые материалы (например, металлы) можно продать для повторного использования, что может быть экономически выгодно.</w:t>
            </w:r>
          </w:p>
          <w:p>
            <w:pPr>
              <w:pStyle w:val="3"/>
              <w:widowControl w:val="false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Социальные выгоды:</w:t>
            </w:r>
          </w:p>
          <w:p>
            <w:pPr>
              <w:pStyle w:val="Style15"/>
              <w:widowControl w:val="false"/>
              <w:numPr>
                <w:ilvl w:val="0"/>
                <w:numId w:val="6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bidi w:val="0"/>
              <w:spacing w:before="0" w:after="0"/>
              <w:jc w:val="left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>Образование и осознанность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Процесс сортировки мусора обучает дисциплине и повышает экологическую осознанность.</w:t>
            </w:r>
          </w:p>
          <w:p>
            <w:pPr>
              <w:pStyle w:val="Style15"/>
              <w:widowControl w:val="false"/>
              <w:numPr>
                <w:ilvl w:val="0"/>
                <w:numId w:val="6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spacing w:before="0" w:after="0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>Социальная ответственность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Раздельный сбор мусора укрепляет чувство социальной ответственности и создает положительный социальный образ.</w:t>
            </w:r>
          </w:p>
          <w:p>
            <w:pPr>
              <w:pStyle w:val="Style15"/>
              <w:widowControl w:val="false"/>
              <w:numPr>
                <w:ilvl w:val="0"/>
                <w:numId w:val="6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>Общественное здоровье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Снижение загрязнения окружающей среды положительно сказывается на здоровье людей.</w:t>
            </w:r>
          </w:p>
          <w:p>
            <w:pPr>
              <w:pStyle w:val="Style15"/>
              <w:widowControl w:val="false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br/>
            </w: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Экологические выгоды:</w:t>
            </w:r>
          </w:p>
          <w:p>
            <w:pPr>
              <w:pStyle w:val="Style15"/>
              <w:widowControl w:val="false"/>
              <w:numPr>
                <w:ilvl w:val="0"/>
                <w:numId w:val="7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spacing w:before="0" w:after="0"/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Сокращение объема отходов на свалках</w:t>
            </w: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sz w:val="24"/>
                <w:szCs w:val="24"/>
              </w:rPr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Раздельный сбор мусора уменьшает количество отходов, которые отправляются на свалки.</w:t>
            </w:r>
          </w:p>
          <w:p>
            <w:pPr>
              <w:pStyle w:val="Style15"/>
              <w:widowControl w:val="false"/>
              <w:numPr>
                <w:ilvl w:val="0"/>
                <w:numId w:val="7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spacing w:before="0" w:after="0"/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Меньше загрязнения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Переработка материалов обычно требует меньше энергии, чем добыча и производство из первичных источников.</w:t>
            </w:r>
          </w:p>
          <w:p>
            <w:pPr>
              <w:pStyle w:val="Style15"/>
              <w:widowControl w:val="false"/>
              <w:numPr>
                <w:ilvl w:val="0"/>
                <w:numId w:val="7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Сохранение ресурсов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Переработка материалов помогает сохранить природные ресурсы, что важно для устойчивого развития.</w:t>
            </w:r>
          </w:p>
          <w:p>
            <w:pPr>
              <w:pStyle w:val="Style15"/>
              <w:widowControl w:val="false"/>
              <w:spacing w:before="0" w:after="1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536" w:hRule="atLeast"/>
        </w:trPr>
        <w:tc>
          <w:tcPr>
            <w:tcW w:w="4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Недостатки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3"/>
              <w:widowControl w:val="false"/>
              <w:spacing w:before="200" w:after="0"/>
              <w:jc w:val="both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iCs w:val="false"/>
                <w:color w:val="00000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Сложности:</w:t>
            </w:r>
          </w:p>
          <w:p>
            <w:pPr>
              <w:pStyle w:val="Style15"/>
              <w:widowControl w:val="false"/>
              <w:numPr>
                <w:ilvl w:val="0"/>
                <w:numId w:val="8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Недостаток пространства: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Мне нужно будет найти место для дополнительных контейнеров для сортировки мусора. Это может быть проблематично, особенно если моя квартира небольшая.</w:t>
            </w:r>
          </w:p>
          <w:p>
            <w:pPr>
              <w:pStyle w:val="Style15"/>
              <w:widowControl w:val="false"/>
              <w:numPr>
                <w:ilvl w:val="0"/>
                <w:numId w:val="8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Сложность сортировки:</w:t>
            </w:r>
            <w:r>
              <w:rPr/>
              <w:t xml:space="preserve">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Передо мной стоит задача разобраться, как правильно сортировать мусор, чтобы не допустить ошибок. Это может быть запутывающим.</w:t>
            </w:r>
          </w:p>
          <w:p>
            <w:pPr>
              <w:pStyle w:val="Style15"/>
              <w:widowControl w:val="false"/>
              <w:numPr>
                <w:ilvl w:val="0"/>
                <w:numId w:val="8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Время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На сортировку мусора теперь уйдет дополнительное время. В начале это может быть особенно трудозатратным.</w:t>
            </w:r>
          </w:p>
          <w:p>
            <w:pPr>
              <w:pStyle w:val="Style15"/>
              <w:widowControl w:val="false"/>
              <w:numPr>
                <w:ilvl w:val="0"/>
                <w:numId w:val="8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Инфраструктура:</w:t>
            </w:r>
            <w:r>
              <w:rPr/>
              <w:t xml:space="preserve">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Если в моем районе не развита система переработки отходов, мои усилия могут оказаться напрасными.</w:t>
            </w:r>
          </w:p>
          <w:p>
            <w:pPr>
              <w:pStyle w:val="Style15"/>
              <w:widowControl w:val="false"/>
              <w:numPr>
                <w:ilvl w:val="0"/>
                <w:numId w:val="8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 xml:space="preserve">Стоимость: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Мне нужно будет купить специальные контейнеры или мешки для сортировки, что может поднять мои расходы.</w:t>
            </w:r>
          </w:p>
          <w:p>
            <w:pPr>
              <w:pStyle w:val="3"/>
              <w:widowControl w:val="false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iCs w:val="false"/>
                <w:color w:val="00000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Непривычные изменения:</w:t>
            </w:r>
          </w:p>
          <w:p>
            <w:pPr>
              <w:pStyle w:val="Style15"/>
              <w:widowControl w:val="false"/>
              <w:numPr>
                <w:ilvl w:val="0"/>
                <w:numId w:val="9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Изменение привычек</w:t>
            </w:r>
            <w:r>
              <w:rPr/>
              <w:t>: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Мне нужно будет привыкнуть к новой ежедневной рутине, что может быть не сразу комфортно</w:t>
            </w:r>
            <w:r>
              <w:rPr/>
              <w:t>.</w:t>
            </w:r>
          </w:p>
          <w:p>
            <w:pPr>
              <w:pStyle w:val="Style15"/>
              <w:widowControl w:val="false"/>
              <w:numPr>
                <w:ilvl w:val="0"/>
                <w:numId w:val="9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Логистические сложности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Я должна буду следить за расписанием работы местных пунктов приема отходов и убедиться, что я выношу мусор вовремя.</w:t>
            </w:r>
          </w:p>
          <w:p>
            <w:pPr>
              <w:pStyle w:val="Style15"/>
              <w:widowControl w:val="false"/>
              <w:numPr>
                <w:ilvl w:val="0"/>
                <w:numId w:val="9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Социальные аспекты</w:t>
            </w:r>
            <w:r>
              <w:rPr/>
              <w:t>: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Моя новая привычка может не найти понимания среди друзей и семьи, что создает дополнительное социальное давление.</w:t>
            </w:r>
          </w:p>
          <w:p>
            <w:pPr>
              <w:pStyle w:val="Style15"/>
              <w:widowControl w:val="false"/>
              <w:numPr>
                <w:ilvl w:val="0"/>
                <w:numId w:val="9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Образование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Мне нужно будет потратить время на изучение правил переработки и сортировки разных видов мусора.</w:t>
            </w:r>
          </w:p>
          <w:p>
            <w:pPr>
              <w:pStyle w:val="Style15"/>
              <w:widowControl w:val="false"/>
              <w:numPr>
                <w:ilvl w:val="0"/>
                <w:numId w:val="9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Эмоциональная нагрузка</w:t>
            </w:r>
            <w:r>
              <w:rPr/>
              <w:t xml:space="preserve">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Я могу начать испытывать чувство вины или стресс, если что-то пойдет не так.</w:t>
            </w:r>
          </w:p>
          <w:p>
            <w:pPr>
              <w:pStyle w:val="Style15"/>
              <w:widowControl w:val="false"/>
              <w:spacing w:before="0" w:after="14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/>
              <w:br/>
            </w:r>
          </w:p>
        </w:tc>
      </w:tr>
      <w:tr>
        <w:trPr>
          <w:trHeight w:val="536" w:hRule="atLeast"/>
        </w:trPr>
        <w:tc>
          <w:tcPr>
            <w:tcW w:w="4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Риски</w:t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6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3"/>
              <w:widowControl w:val="false"/>
              <w:spacing w:before="200" w:after="0"/>
              <w:jc w:val="both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iCs w:val="false"/>
                <w:color w:val="00000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Внутренние факторы:</w:t>
            </w:r>
          </w:p>
          <w:p>
            <w:pPr>
              <w:pStyle w:val="Style15"/>
              <w:widowControl w:val="false"/>
              <w:numPr>
                <w:ilvl w:val="0"/>
                <w:numId w:val="10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Отсутствие мотивации:</w:t>
            </w: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Если я не буду чувствовать внутреннего стремления делать что-то полезное для окружающей среды, мне будет сложно сохранить дисциплину в раздельном сборе мусора.</w:t>
            </w:r>
          </w:p>
          <w:p>
            <w:pPr>
              <w:pStyle w:val="Style15"/>
              <w:widowControl w:val="false"/>
              <w:numPr>
                <w:ilvl w:val="0"/>
                <w:numId w:val="10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Привычка к старому образу жизни:</w:t>
            </w: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Я привыкла к определенной рутине и введение новых привычек потребует от меня дополнительных усилий.</w:t>
            </w:r>
          </w:p>
          <w:p>
            <w:pPr>
              <w:pStyle w:val="Style15"/>
              <w:widowControl w:val="false"/>
              <w:numPr>
                <w:ilvl w:val="0"/>
                <w:numId w:val="10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 xml:space="preserve">Лень и усталость: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После трудного рабочего дня я могу просто не захотеть заниматься сортировкой мусора.</w:t>
            </w:r>
          </w:p>
          <w:p>
            <w:pPr>
              <w:pStyle w:val="Style15"/>
              <w:widowControl w:val="false"/>
              <w:numPr>
                <w:ilvl w:val="0"/>
                <w:numId w:val="10"/>
              </w:numPr>
              <w:pBdr>
                <w:top w:val="single" w:sz="2" w:space="1" w:color="D9D9E3"/>
                <w:left w:val="single" w:sz="2" w:space="1" w:color="D9D9E3"/>
                <w:bottom w:val="single" w:sz="2" w:space="1" w:color="D9D9E3"/>
                <w:right w:val="single" w:sz="2" w:space="1" w:color="D9D9E3"/>
              </w:pBdr>
              <w:tabs>
                <w:tab w:val="clear" w:pos="720"/>
                <w:tab w:val="left" w:pos="0" w:leader="none"/>
              </w:tabs>
              <w:ind w:left="709" w:hanging="283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000000"/>
                <w:sz w:val="24"/>
                <w:szCs w:val="24"/>
                <w:shd w:fill="auto" w:val="clear"/>
              </w:rPr>
              <w:t>Нехватка знаний:</w:t>
            </w: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  <w:t>Если я не знаю, как правильно сортировать мусор, это может снизить эффективность моих усилий.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iCs w:val="false"/>
                <w:color w:val="00000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000000"/>
                <w:sz w:val="24"/>
                <w:szCs w:val="24"/>
                <w:shd w:fill="auto" w:val="clear"/>
              </w:rPr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Таблица 2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–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Личный вклад в раздельный сбор </w:t>
      </w:r>
    </w:p>
    <w:tbl>
      <w:tblPr>
        <w:tblStyle w:val="Table2"/>
        <w:tblW w:w="10664" w:type="dxa"/>
        <w:jc w:val="left"/>
        <w:tblInd w:w="-97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363"/>
        <w:gridCol w:w="6300"/>
      </w:tblGrid>
      <w:tr>
        <w:trPr/>
        <w:tc>
          <w:tcPr>
            <w:tcW w:w="4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Пункт приема</w:t>
            </w:r>
          </w:p>
        </w:tc>
      </w:tr>
      <w:tr>
        <w:trPr/>
        <w:tc>
          <w:tcPr>
            <w:tcW w:w="4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1. Пластиковые бутылки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3"/>
              <w:widowControl w:val="false"/>
              <w:spacing w:before="200" w:after="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Контейнер для пластиковых бутылок «Спецтранс №1»</w:t>
            </w:r>
          </w:p>
        </w:tc>
      </w:tr>
      <w:tr>
        <w:trPr/>
        <w:tc>
          <w:tcPr>
            <w:tcW w:w="4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2. Аккумуляторы, процессоры, сожженные датчики, старая электротехника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3"/>
              <w:widowControl w:val="false"/>
              <w:spacing w:before="200" w:after="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Экотерминал для опасных отходов «Экострой»</w:t>
            </w:r>
          </w:p>
        </w:tc>
      </w:tr>
      <w:tr>
        <w:trPr/>
        <w:tc>
          <w:tcPr>
            <w:tcW w:w="4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3. Батарейки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3"/>
              <w:widowControl w:val="false"/>
              <w:spacing w:before="200" w:after="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Контейнер для батареек в магазине «Магнит»</w:t>
            </w:r>
          </w:p>
        </w:tc>
      </w:tr>
      <w:tr>
        <w:trPr/>
        <w:tc>
          <w:tcPr>
            <w:tcW w:w="4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4. Бумага, картон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3"/>
              <w:widowControl w:val="false"/>
              <w:spacing w:before="200" w:after="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Контейнер для макулатуры «Рус Ресайклинг Компани»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Таблица 3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–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Сокращение отходов по принципу 5R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tbl>
      <w:tblPr>
        <w:tblStyle w:val="Table3"/>
        <w:tblW w:w="10729" w:type="dxa"/>
        <w:jc w:val="left"/>
        <w:tblInd w:w="-1024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835"/>
        <w:gridCol w:w="3970"/>
        <w:gridCol w:w="3924"/>
      </w:tblGrid>
      <w:tr>
        <w:trPr>
          <w:trHeight w:val="440" w:hRule="atLeast"/>
        </w:trPr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78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>
        <w:trPr>
          <w:trHeight w:val="440" w:hRule="atLeast"/>
        </w:trPr>
        <w:tc>
          <w:tcPr>
            <w:tcW w:w="283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3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 Refuse — откажись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 xml:space="preserve">Я отказываюсь от пластиковых пакетов в магазине, предпочитая собой приносить многоразовую эко-сумку. </w:t>
            </w:r>
          </w:p>
        </w:tc>
        <w:tc>
          <w:tcPr>
            <w:tcW w:w="3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Я могу отказываться от одноразовых столовых приборов и брать с собой свои многоразовые.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2 Reduce — сократи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Я покупаю только те продукты и товары, которые действительно необходимы, чтобы избежать их неиспользования и, как следствие, выбрасывания. К примеру, вместо пяти разных средств для уборки, я использую одно универсальное.</w:t>
            </w:r>
          </w:p>
        </w:tc>
        <w:tc>
          <w:tcPr>
            <w:tcW w:w="3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Я могу пользоваться многоразовой бутылкой для воды. Это не только экономит деньги, но и сокращает количество пластиковых отходов.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 Reuse — используй повторно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Перед тем как выбросить какой-либо предмет, я всегда думаю, можно ли его как-то переиспользовать. Например, старые футболки могут стать тряпками для уборки, а стеклянные банки из-под продуктов — хорошими контейнерами для хранения.</w:t>
            </w:r>
          </w:p>
        </w:tc>
        <w:tc>
          <w:tcPr>
            <w:tcW w:w="3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Старые журналы и газеты можно использовать как упаковочный материал или для создания поделок. Это дает им вторую жизнь и уменьшает количество отходов.</w:t>
            </w:r>
          </w:p>
        </w:tc>
      </w:tr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4 Recycle — переработай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Все пластиковые бутылки, бумагу, стекло и другие перерабатываемые материалы я собираю в отдельные мешки и отношу в пункты переработки.</w:t>
            </w:r>
          </w:p>
        </w:tc>
        <w:tc>
          <w:tcPr>
            <w:tcW w:w="3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Буду использовать отдельный контейнер для сбора электронных отходов, таких как батарейки и старые телефоны.</w:t>
            </w:r>
          </w:p>
        </w:tc>
      </w:tr>
      <w:tr>
        <w:trPr>
          <w:trHeight w:val="15" w:hRule="atLeast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5 Rot — компостируй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Я компостирую органические отходы прямо на своем балконе. Это не только уменьшает количество мусора, но и даст мне хорошее удобрение для растений.</w:t>
            </w:r>
          </w:p>
        </w:tc>
        <w:tc>
          <w:tcPr>
            <w:tcW w:w="3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highlight w:val="none"/>
                <w:shd w:fill="auto" w:val="clear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  <w:shd w:fill="auto" w:val="clear"/>
              </w:rPr>
              <w:t>Вместо выбрасывания чая и кофейных зерен в общий мусор, я я могу добавлять их в компостный ящик. Эти материалы хорошо разлагаются и обогащают компост нужными элементами.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Задание 2. Экомаркировка или гринвошинг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Таблица 4 – Экомаркировка vs Гринвошинг</w:t>
        <w:tab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tbl>
      <w:tblPr>
        <w:tblStyle w:val="Table4"/>
        <w:tblW w:w="11114" w:type="dxa"/>
        <w:jc w:val="left"/>
        <w:tblInd w:w="-9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042"/>
        <w:gridCol w:w="1839"/>
        <w:gridCol w:w="1480"/>
        <w:gridCol w:w="1212"/>
        <w:gridCol w:w="2301"/>
        <w:gridCol w:w="1194"/>
        <w:gridCol w:w="2046"/>
      </w:tblGrid>
      <w:tr>
        <w:trPr/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</w:tc>
        <w:tc>
          <w:tcPr>
            <w:tcW w:w="45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4"/>
                <w:szCs w:val="24"/>
              </w:rPr>
              <w:t>Экомаркировка</w:t>
            </w:r>
          </w:p>
        </w:tc>
        <w:tc>
          <w:tcPr>
            <w:tcW w:w="55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4"/>
                <w:szCs w:val="24"/>
              </w:rPr>
              <w:t>Гринвошинг</w:t>
            </w:r>
          </w:p>
        </w:tc>
      </w:tr>
      <w:tr>
        <w:trPr/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Товар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Товар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Описание гринвошинга**</w:t>
            </w:r>
          </w:p>
        </w:tc>
      </w:tr>
      <w:tr>
        <w:trPr/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1.  Жидкое мыло Green Love Бамбук и Имбирь</w:t>
            </w:r>
          </w:p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154940</wp:posOffset>
                  </wp:positionV>
                  <wp:extent cx="1607820" cy="1616710"/>
                  <wp:effectExtent l="0" t="0" r="0" b="0"/>
                  <wp:wrapSquare wrapText="largest"/>
                  <wp:docPr id="2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161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Green Love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1709420</wp:posOffset>
                  </wp:positionH>
                  <wp:positionV relativeFrom="paragraph">
                    <wp:posOffset>95885</wp:posOffset>
                  </wp:positionV>
                  <wp:extent cx="1323975" cy="1444625"/>
                  <wp:effectExtent l="0" t="0" r="0" b="0"/>
                  <wp:wrapSquare wrapText="largest"/>
                  <wp:docPr id="3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Листок Жизни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1.Biomax йогурт классический, 2.7%, 125 г</w:t>
            </w:r>
          </w:p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bioMax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0"/>
                <w:szCs w:val="20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0"/>
                <w:szCs w:val="20"/>
                <w:lang w:val="ru-RU" w:eastAsia="zh-CN" w:bidi="hi-IN"/>
              </w:rPr>
              <w:t>Упаковка выполнена в зеленых, псевдоэкологичных тонах</w:t>
            </w:r>
          </w:p>
        </w:tc>
      </w:tr>
      <w:tr>
        <w:trPr/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2. Гель для белья Green Love</w:t>
            </w:r>
          </w:p>
          <w:p>
            <w:pPr>
              <w:pStyle w:val="Normal"/>
              <w:widowControl w:val="false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508000</wp:posOffset>
                  </wp:positionV>
                  <wp:extent cx="1692275" cy="1701165"/>
                  <wp:effectExtent l="0" t="0" r="0" b="0"/>
                  <wp:wrapSquare wrapText="largest"/>
                  <wp:docPr id="4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275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Green Love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Листок Жизни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iCs w:val="false"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auto"/>
                <w:kern w:val="0"/>
                <w:sz w:val="24"/>
                <w:szCs w:val="24"/>
                <w:lang w:val="ru-RU" w:eastAsia="zh-CN" w:bidi="hi-IN"/>
              </w:rPr>
              <w:t xml:space="preserve">2.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 w:val="false"/>
                <w:iCs w:val="false"/>
                <w:color w:val="auto"/>
                <w:kern w:val="0"/>
                <w:sz w:val="24"/>
                <w:szCs w:val="24"/>
                <w:lang w:val="ru-RU" w:eastAsia="zh-CN" w:bidi="hi-IN"/>
              </w:rPr>
              <w:t>Б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iCs/>
                <w:color w:val="auto"/>
                <w:kern w:val="0"/>
                <w:sz w:val="24"/>
                <w:szCs w:val="24"/>
                <w:lang w:val="ru-RU" w:eastAsia="zh-CN" w:bidi="hi-IN"/>
              </w:rPr>
              <w:t>иойогурт питьевой Слобода Живая еда Черника 2%</w:t>
            </w:r>
          </w:p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i w:val="false"/>
                <w:i w:val="false"/>
                <w:iCs w:val="false"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auto"/>
                <w:kern w:val="0"/>
                <w:sz w:val="24"/>
                <w:szCs w:val="24"/>
                <w:lang w:val="ru-RU" w:eastAsia="zh-CN" w:bidi="hi-IN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342900</wp:posOffset>
                  </wp:positionV>
                  <wp:extent cx="1323975" cy="1666875"/>
                  <wp:effectExtent l="0" t="0" r="0" b="0"/>
                  <wp:wrapSquare wrapText="largest"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Times New Roman" w:ascii="Times New Roman" w:hAnsi="Times New Roman"/>
                <w:b/>
                <w:bCs/>
                <w:i w:val="false"/>
                <w:iCs w:val="false"/>
                <w:color w:val="auto"/>
                <w:kern w:val="0"/>
                <w:sz w:val="24"/>
                <w:szCs w:val="24"/>
                <w:lang w:val="ru-RU" w:eastAsia="zh-CN" w:bidi="hi-IN"/>
              </w:rPr>
              <w:br/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Слобода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i/>
                <w:i/>
                <w:iCs/>
                <w:caps w:val="false"/>
                <w:smallCaps w:val="false"/>
                <w:color w:val="auto"/>
                <w:spacing w:val="0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iCs/>
                <w:caps w:val="false"/>
                <w:smallCaps w:val="false"/>
                <w:color w:val="auto"/>
                <w:spacing w:val="0"/>
                <w:kern w:val="0"/>
                <w:sz w:val="24"/>
                <w:szCs w:val="24"/>
                <w:lang w:val="ru-RU" w:eastAsia="zh-CN" w:bidi="hi-IN"/>
              </w:rPr>
              <w:t>Kомпания разместила зеленый листочек с надписью «Живая еда». Цепляет, так как тоже является гринвошингом.</w:t>
            </w:r>
          </w:p>
        </w:tc>
      </w:tr>
      <w:tr>
        <w:trPr/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 xml:space="preserve">3. </w:t>
            </w: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Кондиционер для белья Green Love</w:t>
            </w:r>
          </w:p>
          <w:p>
            <w:pPr>
              <w:pStyle w:val="Normal"/>
              <w:widowControl w:val="false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r>
          </w:p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297815</wp:posOffset>
                  </wp:positionV>
                  <wp:extent cx="1692275" cy="1701165"/>
                  <wp:effectExtent l="0" t="0" r="0" b="0"/>
                  <wp:wrapSquare wrapText="largest"/>
                  <wp:docPr id="6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275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Green Love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Листок Жизни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3.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color w:val="auto"/>
                <w:spacing w:val="0"/>
                <w:kern w:val="0"/>
                <w:sz w:val="24"/>
                <w:szCs w:val="24"/>
                <w:lang w:val="ru-RU" w:eastAsia="zh-CN" w:bidi="hi-IN"/>
              </w:rPr>
              <w:t>Йогурт Danone термостатный натуральный 1,5% БЗМЖ 160 гр</w:t>
            </w:r>
          </w:p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393700</wp:posOffset>
                  </wp:positionV>
                  <wp:extent cx="1323975" cy="1666875"/>
                  <wp:effectExtent l="0" t="0" r="0" b="0"/>
                  <wp:wrapSquare wrapText="largest"/>
                  <wp:docPr id="7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br/>
              <w:br/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i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i/>
                <w:color w:val="auto"/>
                <w:kern w:val="0"/>
                <w:sz w:val="24"/>
                <w:szCs w:val="24"/>
                <w:lang w:val="ru-RU" w:eastAsia="zh-CN" w:bidi="hi-IN"/>
              </w:rPr>
              <w:t>danone</w:t>
            </w:r>
          </w:p>
        </w:tc>
        <w:tc>
          <w:tcPr>
            <w:tcW w:w="2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200"/>
              <w:jc w:val="left"/>
              <w:rPr>
                <w:rFonts w:ascii="Times New Roman" w:hAnsi="Times New Roman" w:eastAsia="Times New Roman" w:cs="Times New Roman"/>
                <w:b w:val="false"/>
                <w:i/>
                <w:i/>
                <w:caps w:val="false"/>
                <w:smallCaps w:val="false"/>
                <w:color w:val="auto"/>
                <w:spacing w:val="0"/>
                <w:kern w:val="0"/>
                <w:sz w:val="24"/>
                <w:szCs w:val="24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color w:val="auto"/>
                <w:spacing w:val="0"/>
                <w:kern w:val="0"/>
                <w:sz w:val="24"/>
                <w:szCs w:val="24"/>
                <w:lang w:val="ru-RU" w:eastAsia="zh-CN" w:bidi="hi-IN"/>
              </w:rPr>
              <w:t>Продукция этой марки содержит на упаковке экологичный знак с лозунгом «One planet. One health». Но при этом не имеет необходимой сертификации, подтверждающей экологичность.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Задание 3. Быстрая и медленная мода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  <w:drawing>
          <wp:inline distT="0" distB="0" distL="0" distR="0">
            <wp:extent cx="4414520" cy="2515870"/>
            <wp:effectExtent l="0" t="0" r="0" b="0"/>
            <wp:docPr id="8" name="Объект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tbl>
      <w:tblPr>
        <w:tblStyle w:val="Table5"/>
        <w:tblW w:w="10980" w:type="dxa"/>
        <w:jc w:val="left"/>
        <w:tblInd w:w="-98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5541"/>
        <w:gridCol w:w="5438"/>
      </w:tblGrid>
      <w:tr>
        <w:trPr/>
        <w:tc>
          <w:tcPr>
            <w:tcW w:w="5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Часто ношу менее 80% гардероба</w:t>
            </w:r>
          </w:p>
        </w:tc>
        <w:tc>
          <w:tcPr>
            <w:tcW w:w="5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Часто ношу более 80% гардероба</w:t>
            </w:r>
          </w:p>
        </w:tc>
      </w:tr>
      <w:tr>
        <w:trPr>
          <w:trHeight w:val="5441" w:hRule="atLeast"/>
        </w:trPr>
        <w:tc>
          <w:tcPr>
            <w:tcW w:w="5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4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 w:val="false"/>
                <w:iCs w:val="false"/>
                <w:color w:val="000000"/>
                <w:sz w:val="24"/>
                <w:szCs w:val="24"/>
              </w:rPr>
              <w:t>Отдам ненужные вещи нуждающимся.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 w:val="false"/>
                <w:iCs w:val="false"/>
                <w:color w:val="000000"/>
                <w:sz w:val="24"/>
                <w:szCs w:val="24"/>
              </w:rPr>
              <w:t>Поучаствую во Фри-маркете.</w:t>
            </w:r>
          </w:p>
          <w:p>
            <w:pPr>
              <w:pStyle w:val="Style15"/>
              <w:widowControl w:val="false"/>
              <w:numPr>
                <w:ilvl w:val="0"/>
                <w:numId w:val="4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 w:val="false"/>
                <w:iCs w:val="false"/>
                <w:color w:val="000000"/>
                <w:sz w:val="24"/>
                <w:szCs w:val="24"/>
              </w:rPr>
              <w:t>Я убираю все, что не ношу: старые футболки, неудачные покупки, вещи, которые уже не по размеру. Их я могу подарить, продать или отдать на переработку.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У меня в гардеробе много вещей, которые не сочетаются друг с другом, я бы сфокусировалась на создании капсульного гардероба с базовыми, универсальными вещами.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200"/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Я бы начала заранее планировать свои наряды, чтобы не тратить каждое утро кучу времени на выбор одежды.</w:t>
            </w:r>
          </w:p>
        </w:tc>
        <w:tc>
          <w:tcPr>
            <w:tcW w:w="54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numPr>
                <w:ilvl w:val="0"/>
                <w:numId w:val="3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 w:val="false"/>
                <w:iCs w:val="false"/>
                <w:color w:val="000000"/>
                <w:sz w:val="24"/>
                <w:szCs w:val="24"/>
              </w:rPr>
              <w:t>Если понимаю, что вещь не нужна, то продаю ее.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 w:val="false"/>
                <w:iCs w:val="false"/>
                <w:color w:val="000000"/>
                <w:sz w:val="24"/>
                <w:szCs w:val="24"/>
              </w:rPr>
              <w:t>Покупаю новые ботинки, если старые уже нельзя отремонтировать у сапожника.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Я стараюсь выбирать одежду из натуральных материалов и с хорошей отделкой. Такие вещи дольше служат и выглядят лучше.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Мне нравится, когда одна и та же юбка подходит к разным блузам и кардиганам. Это делает мой гардероб универсальным и практичным.</w:t>
            </w:r>
          </w:p>
          <w:p>
            <w:pPr>
              <w:pStyle w:val="Normal"/>
              <w:widowControl w:val="false"/>
              <w:numPr>
                <w:ilvl w:val="0"/>
                <w:numId w:val="3"/>
              </w:numPr>
              <w:spacing w:lineRule="auto" w:line="240" w:before="0" w:after="0"/>
              <w:ind w:left="720" w:hanging="36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Зимние свитера и пуховики я убираю на верхнюю полку, когда наступает лето. Это дает мне больше места для летних нарядов и облегчает доступ к ним.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Выводы: </w:t>
      </w:r>
    </w:p>
    <w:p>
      <w:pPr>
        <w:pStyle w:val="Style15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процессе обсуждения различных аспектов экологически устойчивого образа жизни, мы рассмотрели ключевые концепции и практики, такие как раздельный сбор мусора и принцип 5R для сокращения отходов. Осознание и применение этих концепций не только помогают сократить экологический след, но и привносят экономические и социальные выгоды. Существуют определенные барьеры и сложности, которые могут возникнуть при внедрении этих практик, но они часто могут быть преодолены через планирование, информирование и изменение привычек. Например, внедрение раздельного сбора мусора в квартире может в начале казаться сложным из-за необходимости разделять отходы и возможных недостатков места для хранения. Однако, эти "недостатки" легко перевешиваются долгосрочными выгодами в виде сохранения ресурсов и снижения загрязнения. </w:t>
      </w:r>
    </w:p>
    <w:p>
      <w:pPr>
        <w:pStyle w:val="Style15"/>
        <w:numPr>
          <w:ilvl w:val="0"/>
          <w:numId w:val="11"/>
        </w:numPr>
        <w:jc w:val="both"/>
        <w:rPr>
          <w:rFonts w:ascii="Times New Roman" w:hAnsi="Times New Roman" w:eastAsia="Calibri" w:cs="Calibr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Calibri" w:cs="Calib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ru-RU" w:eastAsia="zh-CN" w:bidi="hi-IN"/>
        </w:rPr>
        <w:t>Экомаркировки играют важную роль в информировании потребителей о том, насколько продукт или услуга является экологически устойчивым или безопасным. Однако, как мы видели, не все экомаркировки созданы равными, и некоторые из них могут быть подвергнуты критике за неясность или недостаточную проверку. Листок Жизни — одна из наиболее известных экомаркировок, признанная во многих странах. Она охватывает широкий спектр критериев, включая устойчивость исходных материалов, энергоэффективность производства, и даже социальные аспекты, такие как условия труда. Это делает её одной из наиболее всеобъемлющих и надежных экомаркировок на рынке. Тем не менее, важно оставаться критичным и образованным потребителем. Даже наличие уважаемой экомаркировки не должно заменять детального исследования и осознанного выбора. Информация всегда должна быть проверена, особенно в контексте экологических и социальных утверждений. Касательно упаков</w:t>
      </w:r>
      <w:r>
        <w:rPr>
          <w:rFonts w:eastAsia="Calibri" w:cs="Calib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ru-RU" w:eastAsia="zh-CN" w:bidi="hi-IN"/>
        </w:rPr>
        <w:t>ок</w:t>
        <w:tab/>
      </w:r>
      <w:r>
        <w:rPr>
          <w:rFonts w:eastAsia="Calibri" w:cs="Calib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ru-RU" w:eastAsia="zh-CN" w:bidi="hi-IN"/>
        </w:rPr>
        <w:t xml:space="preserve"> из-под йогурта и гринвошинга, этот пример иллюстрирует, как маркетинговые стратегии могут влиять на восприятие потребителями экологичности продукта. Гринвошинг — это форма введения в заблуждение, которая может затруднить правильный выбор на пути к более устойчивому и здоровому образу жизни. Она подчеркивает важность критического подхода к информации на упаковке и необходимость искать дополнительные данные для подтверждения экологических утверждений.</w:t>
      </w:r>
    </w:p>
    <w:p>
      <w:pPr>
        <w:pStyle w:val="Style15"/>
        <w:numPr>
          <w:ilvl w:val="0"/>
          <w:numId w:val="1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Процесс периодического обновления и аудита гардероба позволяет мне не только поддерживать порядок, но и адаптироваться к изменяющимся жизненным обстоятельствам и модным трендам. В целом, оптимизация гардероба стала для меня не просто способом упорядочить </w:t>
        <w:tab/>
        <w:t xml:space="preserve">одежду, но и методом самопознания. Через свой гардероб я лучше поняла свои </w:t>
        <w:tab/>
        <w:t xml:space="preserve">предпочтения, стиль и личность, что, безусловно, положительно сказалось на моем </w:t>
        <w:tab/>
        <w:t>самочувствии и уровне уверенности.</w:t>
      </w:r>
    </w:p>
    <w:p>
      <w:pPr>
        <w:pStyle w:val="Normal"/>
        <w:numPr>
          <w:ilvl w:val="0"/>
          <w:numId w:val="0"/>
        </w:numPr>
        <w:spacing w:before="0" w:after="200"/>
        <w:ind w:left="720" w:hanging="0"/>
        <w:jc w:val="both"/>
        <w:rPr>
          <w:rFonts w:ascii="Times New Roman" w:hAnsi="Times New Roman"/>
          <w:sz w:val="24"/>
          <w:szCs w:val="24"/>
        </w:rPr>
      </w:pPr>
      <w:r>
        <w:rPr/>
      </w:r>
    </w:p>
    <w:sectPr>
      <w:type w:val="nextPage"/>
      <w:pgSz w:w="11906" w:h="16838"/>
      <w:pgMar w:left="1459" w:right="850" w:gutter="0" w:header="0" w:top="1134" w:footer="0" w:bottom="1134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  <w:rFonts w:ascii="Times New Roman" w:hAnsi="Times New Roman"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  <w:rFonts w:ascii="Times New Roman" w:hAnsi="Times New Roman" w:eastAsia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  <w:rFonts w:ascii="Times New Roman" w:hAnsi="Times New Roman" w:eastAsia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  <w:rFonts w:ascii="Times New Roman" w:hAnsi="Times New Roman" w:eastAsia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  <w:rFonts w:ascii="Times New Roman" w:hAnsi="Times New Roman" w:eastAsia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  <w:rFonts w:ascii="Times New Roman" w:hAnsi="Times New Roman" w:eastAsia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  <w:rFonts w:ascii="Times New Roman" w:hAnsi="Times New Roman" w:eastAsia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  <w:rFonts w:ascii="Times New Roman" w:hAnsi="Times New Roman" w:eastAsia="Times New Roman" w:cs="Times New Roman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  <w:rFonts w:ascii="Times New Roman" w:hAnsi="Times New Roman"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  <w:rFonts w:ascii="Times New Roman" w:hAnsi="Times New Roman" w:eastAsia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  <w:rFonts w:ascii="Times New Roman" w:hAnsi="Times New Roman" w:eastAsia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  <w:rFonts w:ascii="Times New Roman" w:hAnsi="Times New Roman" w:eastAsia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  <w:rFonts w:ascii="Times New Roman" w:hAnsi="Times New Roman" w:eastAsia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  <w:rFonts w:ascii="Times New Roman" w:hAnsi="Times New Roman" w:eastAsia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  <w:rFonts w:ascii="Times New Roman" w:hAnsi="Times New Roman" w:eastAsia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  <w:rFonts w:ascii="Times New Roman" w:hAnsi="Times New Roman" w:eastAsia="Times New Roman" w:cs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  <w:rFonts w:ascii="Times New Roman" w:hAnsi="Times New Roman"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  <w:rFonts w:ascii="Times New Roman" w:hAnsi="Times New Roman" w:eastAsia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  <w:rFonts w:ascii="Times New Roman" w:hAnsi="Times New Roman" w:eastAsia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  <w:rFonts w:ascii="Times New Roman" w:hAnsi="Times New Roman" w:eastAsia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  <w:rFonts w:ascii="Times New Roman" w:hAnsi="Times New Roman" w:eastAsia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  <w:rFonts w:ascii="Times New Roman" w:hAnsi="Times New Roman" w:eastAsia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  <w:rFonts w:ascii="Times New Roman" w:hAnsi="Times New Roman" w:eastAsia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  <w:rFonts w:ascii="Times New Roman" w:hAnsi="Times New Roman" w:eastAsia="Times New Roman" w:cs="Times New Roman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  <w:rFonts w:ascii="Times New Roman" w:hAnsi="Times New Roman"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  <w:rFonts w:ascii="Times New Roman" w:hAnsi="Times New Roman" w:eastAsia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  <w:rFonts w:ascii="Times New Roman" w:hAnsi="Times New Roman" w:eastAsia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  <w:rFonts w:ascii="Times New Roman" w:hAnsi="Times New Roman" w:eastAsia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  <w:rFonts w:ascii="Times New Roman" w:hAnsi="Times New Roman" w:eastAsia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  <w:rFonts w:ascii="Times New Roman" w:hAnsi="Times New Roman" w:eastAsia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  <w:rFonts w:ascii="Times New Roman" w:hAnsi="Times New Roman" w:eastAsia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  <w:rFonts w:ascii="Times New Roman" w:hAnsi="Times New Roman" w:eastAsia="Times New Roman" w:cs="Times New Roman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  <w:rFonts w:ascii="Times New Roman" w:hAnsi="Times New Roman"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  <w:rFonts w:ascii="Times New Roman" w:hAnsi="Times New Roman" w:eastAsia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  <w:rFonts w:ascii="Times New Roman" w:hAnsi="Times New Roman" w:eastAsia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  <w:rFonts w:ascii="Times New Roman" w:hAnsi="Times New Roman" w:eastAsia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  <w:rFonts w:ascii="Times New Roman" w:hAnsi="Times New Roman" w:eastAsia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  <w:rFonts w:ascii="Times New Roman" w:hAnsi="Times New Roman" w:eastAsia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  <w:rFonts w:ascii="Times New Roman" w:hAnsi="Times New Roman" w:eastAsia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  <w:rFonts w:ascii="Times New Roman" w:hAnsi="Times New Roman" w:eastAsia="Times New Roman" w:cs="Times New Roman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24"/>
        <w:szCs w:val="24"/>
        <w:rFonts w:ascii="Times New Roman" w:hAnsi="Times New Roman"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>
        <w:sz w:val="24"/>
        <w:szCs w:val="24"/>
        <w:rFonts w:ascii="Times New Roman" w:hAnsi="Times New Roman" w:eastAsia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>
        <w:sz w:val="24"/>
        <w:szCs w:val="24"/>
        <w:rFonts w:ascii="Times New Roman" w:hAnsi="Times New Roman" w:eastAsia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>
        <w:sz w:val="24"/>
        <w:szCs w:val="24"/>
        <w:rFonts w:ascii="Times New Roman" w:hAnsi="Times New Roman" w:eastAsia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>
        <w:sz w:val="24"/>
        <w:szCs w:val="24"/>
        <w:rFonts w:ascii="Times New Roman" w:hAnsi="Times New Roman" w:eastAsia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>
        <w:sz w:val="24"/>
        <w:szCs w:val="24"/>
        <w:rFonts w:ascii="Times New Roman" w:hAnsi="Times New Roman" w:eastAsia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>
        <w:sz w:val="24"/>
        <w:szCs w:val="24"/>
        <w:rFonts w:ascii="Times New Roman" w:hAnsi="Times New Roman" w:eastAsia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>
        <w:sz w:val="24"/>
        <w:szCs w:val="24"/>
        <w:rFonts w:ascii="Times New Roman" w:hAnsi="Times New Roman" w:eastAsia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>
        <w:sz w:val="24"/>
        <w:szCs w:val="24"/>
        <w:rFonts w:ascii="Times New Roman" w:hAnsi="Times New Roman" w:eastAsia="Times New Roman" w:cs="Times New Roman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3030e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Normal"/>
    <w:next w:val="LOnormal"/>
    <w:link w:val="11"/>
    <w:uiPriority w:val="9"/>
    <w:qFormat/>
    <w:rsid w:val="00181dcf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paragraph" w:styleId="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rsid w:val="00181dcf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Hyperlink"/>
    <w:basedOn w:val="DefaultParagraphFont"/>
    <w:uiPriority w:val="99"/>
    <w:semiHidden/>
    <w:unhideWhenUsed/>
    <w:rsid w:val="00181dcf"/>
    <w:rPr>
      <w:color w:val="0000FF"/>
      <w:u w:val="single"/>
    </w:rPr>
  </w:style>
  <w:style w:type="character" w:styleId="11" w:customStyle="1">
    <w:name w:val="Заголовок 1 Знак"/>
    <w:basedOn w:val="DefaultParagraphFont"/>
    <w:uiPriority w:val="9"/>
    <w:qFormat/>
    <w:rsid w:val="00181dcf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31" w:customStyle="1">
    <w:name w:val="Заголовок 3 Знак"/>
    <w:basedOn w:val="DefaultParagraphFont"/>
    <w:uiPriority w:val="9"/>
    <w:semiHidden/>
    <w:qFormat/>
    <w:rsid w:val="00181dc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Style9">
    <w:name w:val="Emphasis"/>
    <w:basedOn w:val="DefaultParagraphFont"/>
    <w:uiPriority w:val="20"/>
    <w:qFormat/>
    <w:rsid w:val="00181dcf"/>
    <w:rPr>
      <w:i/>
      <w:iCs/>
    </w:rPr>
  </w:style>
  <w:style w:type="character" w:styleId="Zw" w:customStyle="1">
    <w:name w:val="zw"/>
    <w:basedOn w:val="DefaultParagraphFont"/>
    <w:qFormat/>
    <w:rsid w:val="00181dcf"/>
    <w:rPr/>
  </w:style>
  <w:style w:type="character" w:styleId="Producttitle" w:customStyle="1">
    <w:name w:val="product-title"/>
    <w:basedOn w:val="DefaultParagraphFont"/>
    <w:qFormat/>
    <w:rsid w:val="00181dcf"/>
    <w:rPr/>
  </w:style>
  <w:style w:type="character" w:styleId="Style10" w:customStyle="1">
    <w:name w:val="Текст выноски Знак"/>
    <w:basedOn w:val="DefaultParagraphFont"/>
    <w:link w:val="BalloonText"/>
    <w:uiPriority w:val="99"/>
    <w:semiHidden/>
    <w:qFormat/>
    <w:rsid w:val="00c11ed1"/>
    <w:rPr>
      <w:rFonts w:ascii="Tahoma" w:hAnsi="Tahoma" w:cs="Tahoma"/>
      <w:sz w:val="16"/>
      <w:szCs w:val="16"/>
    </w:rPr>
  </w:style>
  <w:style w:type="character" w:styleId="Style11" w:customStyle="1">
    <w:name w:val="Текст примечания Знак"/>
    <w:basedOn w:val="DefaultParagraphFont"/>
    <w:link w:val="Annotationtext"/>
    <w:uiPriority w:val="99"/>
    <w:semiHidden/>
    <w:qFormat/>
    <w:rPr>
      <w:sz w:val="20"/>
      <w:szCs w:val="20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12">
    <w:name w:val="Символ нумерации"/>
    <w:qFormat/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/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9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qFormat/>
    <w:rsid w:val="00181dc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Style10"/>
    <w:uiPriority w:val="99"/>
    <w:semiHidden/>
    <w:unhideWhenUsed/>
    <w:qFormat/>
    <w:rsid w:val="00c11ed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1ed1"/>
    <w:pPr>
      <w:spacing w:before="0" w:after="200"/>
      <w:ind w:left="720" w:hanging="0"/>
      <w:contextualSpacing/>
    </w:pPr>
    <w:rPr/>
  </w:style>
  <w:style w:type="paragraph" w:styleId="NoSpacing">
    <w:name w:val="No Spacing"/>
    <w:uiPriority w:val="1"/>
    <w:qFormat/>
    <w:rsid w:val="001b261a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Author" w:customStyle="1">
    <w:name w:val="Author"/>
    <w:basedOn w:val="Normal"/>
    <w:qFormat/>
    <w:rsid w:val="001b261a"/>
    <w:pPr>
      <w:overflowPunct w:val="false"/>
      <w:spacing w:lineRule="auto" w:line="288" w:before="120" w:after="0"/>
      <w:jc w:val="right"/>
      <w:textAlignment w:val="baseline"/>
    </w:pPr>
    <w:rPr>
      <w:rFonts w:ascii="Times New Roman" w:hAnsi="Times New Roman" w:eastAsia="Times New Roman" w:cs="Times New Roman"/>
      <w:i/>
      <w:sz w:val="24"/>
      <w:szCs w:val="20"/>
    </w:rPr>
  </w:style>
  <w:style w:type="paragraph" w:styleId="Authortitle" w:customStyle="1">
    <w:name w:val="Author_title"/>
    <w:basedOn w:val="Author"/>
    <w:qFormat/>
    <w:rsid w:val="001b261a"/>
    <w:pPr/>
    <w:rPr>
      <w:i w:val="false"/>
    </w:rPr>
  </w:style>
  <w:style w:type="paragraph" w:styleId="Style20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nnotationtext">
    <w:name w:val="annotation text"/>
    <w:basedOn w:val="Normal"/>
    <w:link w:val="Style11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chart" Target="charts/chart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charts/_rels/chart1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.xlsx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i="1" lang="ru-RU" sz="1600" spc="-1" strike="noStrike">
                <a:solidFill>
                  <a:srgbClr val="000000"/>
                </a:solidFill>
                <a:latin typeface="Calibri"/>
              </a:defRPr>
            </a:pPr>
            <a:r>
              <a:rPr b="0" i="1" lang="ru-RU" sz="1600" spc="-1" strike="noStrike">
                <a:solidFill>
                  <a:srgbClr val="000000"/>
                </a:solidFill>
                <a:latin typeface="Calibri"/>
              </a:rPr>
              <a:t>Мой гардероб</a:t>
            </a:r>
          </a:p>
        </c:rich>
      </c:tx>
      <c:overlay val="0"/>
      <c:spPr>
        <a:noFill/>
        <a:ln w="0">
          <a:noFill/>
        </a:ln>
      </c:spPr>
    </c:title>
    <c:autoTitleDeleted val="0"/>
    <c:plotArea>
      <c:pieChart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Мой гардероб</c:v>
                </c:pt>
              </c:strCache>
            </c:strRef>
          </c:tx>
          <c:spPr>
            <a:solidFill>
              <a:srgbClr val="4f81bd"/>
            </a:solidFill>
            <a:ln w="0">
              <a:noFill/>
            </a:ln>
          </c:spPr>
          <c:explosion val="0"/>
          <c:dPt>
            <c:idx val="0"/>
            <c:spPr>
              <a:solidFill>
                <a:srgbClr val="4f81bd"/>
              </a:solidFill>
              <a:ln w="0">
                <a:noFill/>
              </a:ln>
            </c:spPr>
          </c:dPt>
          <c:dPt>
            <c:idx val="1"/>
            <c:spPr>
              <a:solidFill>
                <a:srgbClr val="c0504d"/>
              </a:solidFill>
              <a:ln w="0">
                <a:noFill/>
              </a:ln>
            </c:spPr>
          </c:dPt>
          <c:dPt>
            <c:idx val="2"/>
            <c:spPr>
              <a:solidFill>
                <a:srgbClr val="9bbb59"/>
              </a:solidFill>
              <a:ln w="0">
                <a:noFill/>
              </a:ln>
            </c:spPr>
          </c:dPt>
          <c:dLbls>
            <c:dLbl>
              <c:idx val="0"/>
              <c:txPr>
                <a:bodyPr wrap="square"/>
                <a:lstStyle/>
                <a:p>
                  <a:pPr>
                    <a:defRPr b="0" sz="1000" spc="-1" strike="noStrike">
                      <a:solidFill>
                        <a:srgbClr val="000000"/>
                      </a:solidFill>
                      <a:latin typeface="Calibri"/>
                    </a:defRPr>
                  </a:pPr>
                </a:p>
              </c:txPr>
              <c:dLblPos val="bestFit"/>
              <c:showLegendKey val="0"/>
              <c:showVal val="0"/>
              <c:showCatName val="0"/>
              <c:showSerName val="0"/>
              <c:showPercent val="0"/>
              <c:separator>; </c:separator>
            </c:dLbl>
            <c:dLbl>
              <c:idx val="1"/>
              <c:txPr>
                <a:bodyPr wrap="square"/>
                <a:lstStyle/>
                <a:p>
                  <a:pPr>
                    <a:defRPr b="0" sz="1000" spc="-1" strike="noStrike">
                      <a:solidFill>
                        <a:srgbClr val="000000"/>
                      </a:solidFill>
                      <a:latin typeface="Calibri"/>
                    </a:defRPr>
                  </a:pPr>
                </a:p>
              </c:txPr>
              <c:dLblPos val="bestFit"/>
              <c:showLegendKey val="0"/>
              <c:showVal val="0"/>
              <c:showCatName val="0"/>
              <c:showSerName val="0"/>
              <c:showPercent val="0"/>
              <c:separator>; </c:separator>
            </c:dLbl>
            <c:dLbl>
              <c:idx val="2"/>
              <c:txPr>
                <a:bodyPr wrap="square"/>
                <a:lstStyle/>
                <a:p>
                  <a:pPr>
                    <a:defRPr b="0" sz="1000" spc="-1" strike="noStrike">
                      <a:solidFill>
                        <a:srgbClr val="000000"/>
                      </a:solidFill>
                      <a:latin typeface="Calibri"/>
                    </a:defRPr>
                  </a:pPr>
                </a:p>
              </c:txPr>
              <c:dLblPos val="bestFit"/>
              <c:showLegendKey val="0"/>
              <c:showVal val="0"/>
              <c:showCatName val="0"/>
              <c:showSerName val="0"/>
              <c:showPercent val="0"/>
              <c:separator>; </c:separator>
            </c:dLbl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bestFit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</c:dLbls>
          <c:cat>
            <c:strRef>
              <c:f>categories</c:f>
              <c:strCache>
                <c:ptCount val="3"/>
                <c:pt idx="0">
                  <c:v>Часто </c:v>
                </c:pt>
                <c:pt idx="1">
                  <c:v>Иногда</c:v>
                </c:pt>
                <c:pt idx="2">
                  <c:v>Редко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3"/>
                <c:pt idx="0">
                  <c:v>60</c:v>
                </c:pt>
                <c:pt idx="1">
                  <c:v>10</c:v>
                </c:pt>
                <c:pt idx="2">
                  <c:v>30</c:v>
                </c:pt>
              </c:numCache>
            </c:numRef>
          </c:val>
        </c:ser>
        <c:firstSliceAng val="0"/>
      </c:pieChart>
      <c:spPr>
        <a:noFill/>
        <a:ln w="0">
          <a:noFill/>
        </a:ln>
      </c:spPr>
    </c:plotArea>
    <c:legend>
      <c:legendPos val="r"/>
      <c:overlay val="0"/>
      <c:spPr>
        <a:noFill/>
        <a:ln w="0">
          <a:noFill/>
        </a:ln>
      </c:spPr>
      <c:txPr>
        <a:bodyPr/>
        <a:lstStyle/>
        <a:p>
          <a:pPr>
            <a:defRPr b="0" sz="1000" spc="-1" strike="noStrike">
              <a:solidFill>
                <a:srgbClr val="000000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PEpviEEBM5Cd4GDm2/lZhohbmZg==">AMUW2mVyaNHVJozujUIKnNVB+yvSd+14AbwL8obGwpygtzEFP33Kqvq2cyIHvKc16syPrVjVs2uzUOwT5mzJvwTuJL1Umnqlo8Pp1KUHwLUvl2nGDaqByDSJkbc80VPBgv15Z1dKUbC9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474</TotalTime>
  <Application>LibreOffice/7.4.7.2$Linux_X86_64 LibreOffice_project/40$Build-2</Application>
  <AppVersion>15.0000</AppVersion>
  <Pages>9</Pages>
  <Words>1500</Words>
  <Characters>9704</Characters>
  <CharactersWithSpaces>11073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2022-09-29T05:09:00Z</dcterms:created>
  <dc:creator>User</dc:creator>
  <dc:description/>
  <dc:language>ru-RU</dc:language>
  <cp:lastModifiedBy/>
  <dcterms:modified xsi:type="dcterms:W3CDTF">2023-10-26T21:12:22Z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