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Охрименко А. Д.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Факультет:  СУиР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R3135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980565" cy="7804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  <w:r>
        <w:br w:type="page"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Формирование личного финансового плана</w:t>
      </w:r>
    </w:p>
    <w:p>
      <w:pPr>
        <w:pStyle w:val="Normal"/>
        <w:shd w:val="clear" w:fill="FFFFFF"/>
        <w:spacing w:lineRule="auto" w:line="240" w:before="120"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1.1 Личный финансовый план на год</w:t>
      </w:r>
    </w:p>
    <w:tbl>
      <w:tblPr>
        <w:tblStyle w:val="Table1"/>
        <w:tblW w:w="9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45"/>
        <w:gridCol w:w="1650"/>
        <w:gridCol w:w="1557"/>
        <w:gridCol w:w="1848"/>
        <w:gridCol w:w="1703"/>
      </w:tblGrid>
      <w:tr>
        <w:trPr>
          <w:trHeight w:val="375" w:hRule="atLeast"/>
        </w:trPr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>
        <w:trPr>
          <w:trHeight w:val="375" w:hRule="atLeast"/>
        </w:trPr>
        <w:tc>
          <w:tcPr>
            <w:tcW w:w="27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 2 полугодии</w:t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Отдать долг за ноутбук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16000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 месяца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4000</w:t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Операция на зрение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120000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До конца 2023 года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10000</w:t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13000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12000</w:t>
            </w:r>
          </w:p>
        </w:tc>
      </w:tr>
    </w:tbl>
    <w:p>
      <w:pPr>
        <w:pStyle w:val="Normal"/>
        <w:spacing w:lineRule="auto" w:line="240" w:before="24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Комментарий: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Заработная плата не растет, доходы со стороны родственников не повышаются, ежемесячные накопления приходится не изменяются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Анализ расходов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2.1.1 Учет расходов за неделю. Базовый уровень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за 1 неделю в текущем месяце (...)</w:t>
      </w:r>
    </w:p>
    <w:tbl>
      <w:tblPr>
        <w:tblStyle w:val="Table2"/>
        <w:tblW w:w="41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76"/>
        <w:gridCol w:w="1511"/>
      </w:tblGrid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Наименование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Сумма 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Постоянные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Оплата проездного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1305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Плата за wi-fi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490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Оплата курса по программированию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Переменные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Поход в ресторан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4900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Средства ЛГ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780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 обеда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240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12715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2.2. План расходов на следующий месяц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на следующий месяц. Базовый уровень.</w:t>
      </w:r>
    </w:p>
    <w:tbl>
      <w:tblPr>
        <w:tblStyle w:val="Table4"/>
        <w:tblW w:w="31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11"/>
        <w:gridCol w:w="959"/>
      </w:tblGrid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Наименование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Сумма 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Постоянные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Обеды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960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wi-fi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490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мегафон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Проездной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1305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Переменные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Ресторан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такси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1500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Откладывание на накоп. счет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косметика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Непредвиденные расходы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караоке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16505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Рисунок 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Структура расходов на будущий месяц </w:t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Комментарии: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14" w:hanging="35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Много средств уходит на мои развлечения и досуг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14" w:hanging="35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Средства с накопительного счета уйдут на подготовку к новому году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14" w:hanging="35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Доля развлечений велика, но не требует сокращения, так как я забочусь о своем ментальном здоровье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 Оптимизация расходов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Наиболее существенным является раздел ....., поэтому оптимизацию следует начинать с него.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2.3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Планируемые расходы на ..... в следующем месяце  (...).</w:t>
      </w:r>
    </w:p>
    <w:tbl>
      <w:tblPr>
        <w:tblStyle w:val="Table6"/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10"/>
        <w:gridCol w:w="984"/>
        <w:gridCol w:w="1268"/>
        <w:gridCol w:w="1419"/>
        <w:gridCol w:w="1416"/>
        <w:gridCol w:w="2570"/>
      </w:tblGrid>
      <w:tr>
        <w:trPr>
          <w:trHeight w:val="315" w:hRule="atLeast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Снижение расходов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составило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 ....%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Формирование личного бюджета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3.1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Личный бюджет на следующий месяц (....)</w:t>
      </w:r>
    </w:p>
    <w:tbl>
      <w:tblPr>
        <w:tblStyle w:val="Table7"/>
        <w:tblW w:w="971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27"/>
        <w:gridCol w:w="1025"/>
        <w:gridCol w:w="2399"/>
        <w:gridCol w:w="1002"/>
        <w:gridCol w:w="2208"/>
        <w:gridCol w:w="1557"/>
      </w:tblGrid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ind w:left="141" w:hanging="14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по заданию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результате балансировки бюджета ...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4.1 Выбор дебетовой карты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Таблица 4.1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eastAsia="Times New Roman" w:cs="Times New Roman" w:ascii="Times New Roman" w:hAnsi="Times New Roman"/>
          <w:sz w:val="24"/>
          <w:szCs w:val="24"/>
        </w:rPr>
        <w:t>кешбэка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tbl>
      <w:tblPr>
        <w:tblStyle w:val="Table8"/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4"/>
        <w:gridCol w:w="2145"/>
        <w:gridCol w:w="3600"/>
        <w:gridCol w:w="1486"/>
        <w:gridCol w:w="1419"/>
      </w:tblGrid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right="-115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12121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37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84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240" w:before="12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Вывод</w:t>
      </w:r>
      <w:r>
        <w:rPr>
          <w:rFonts w:eastAsia="Times New Roman" w:cs="Times New Roman" w:ascii="Times New Roman" w:hAnsi="Times New Roman"/>
          <w:sz w:val="24"/>
          <w:szCs w:val="24"/>
        </w:rPr>
        <w:t>: мне больше всего подходит карта …, потому что….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" w:name="_heading=h.nh1as9i0kww2"/>
      <w:bookmarkStart w:id="2" w:name="_heading=h.nh1as9i0kww2"/>
      <w:bookmarkEnd w:id="2"/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4.2 Формирование инвестиционного портфеля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70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Основной целью инвестирования является....., срок ...., так как .....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70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Объем вложений .... руб., ежемесячно портфель будет пополняться на ...../не будет пополняться. 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70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Я не готов потерять более ....% данной суммы, так как ......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70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Так как срок вложений ..... и является ..... наиболее целесообразным будет вложение средств ......, поэтому оптимальным вариантом считаю вложение ....% средств в  .... и ...% в...... Анализ динамики ..... показал, что....., соответственно объем моего портфеля не должен снизиться более чем на .....%, так как ...... 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70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Анализ ...... показал, что .......</w:t>
      </w:r>
    </w:p>
    <w:p>
      <w:pPr>
        <w:pStyle w:val="Normal"/>
        <w:spacing w:lineRule="auto" w:line="240" w:before="0" w:after="0"/>
        <w:ind w:left="34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вложений в ...... был выбран ......, соответственно через ....  я планирую получить..... Если даже ......, я все равно смогу получить суммарно ..... по портфелю, так как ....... </w:t>
      </w:r>
    </w:p>
    <w:p>
      <w:pPr>
        <w:pStyle w:val="Normal"/>
        <w:spacing w:lineRule="auto" w:line="240" w:before="0" w:after="0"/>
        <w:ind w:left="70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по работе: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5jh11tblpsua"/>
      <w:bookmarkEnd w:id="3"/>
      <w:r>
        <w:rPr>
          <w:rFonts w:eastAsia="Times New Roman" w:cs="Times New Roman" w:ascii="Times New Roman" w:hAnsi="Times New Roman"/>
          <w:sz w:val="24"/>
          <w:szCs w:val="24"/>
        </w:rPr>
        <w:t>Наиболее масштабной финансовой целью на ближайший год является…, в среднем накопления на реализацию финансовых целей составляют ....% от моего бюджета на ближайший месяц.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6kxn3ivdqucl"/>
      <w:bookmarkEnd w:id="4"/>
      <w:r>
        <w:rPr>
          <w:rFonts w:eastAsia="Times New Roman" w:cs="Times New Roman" w:ascii="Times New Roman" w:hAnsi="Times New Roman"/>
          <w:sz w:val="24"/>
          <w:szCs w:val="24"/>
        </w:rPr>
        <w:t>Размер сбережений на «подушку безопасности» составляет .... тыс. рублей,</w:t>
        <w:br/>
        <w:t>или ...% от доходов.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5" w:name="_heading=h.uo3v5yb8fzpj"/>
      <w:bookmarkEnd w:id="5"/>
      <w:r>
        <w:rPr>
          <w:rFonts w:eastAsia="Times New Roman" w:cs="Times New Roman" w:ascii="Times New Roman" w:hAnsi="Times New Roman"/>
          <w:sz w:val="24"/>
          <w:szCs w:val="24"/>
        </w:rPr>
        <w:t>Основными статьями расходов являются…, в результате оптимизации расходы были сокращены на ....% за счет….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6" w:name="_heading=h.b6of2yelw3v6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В перспективе источники доходов планируется дополнить….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7" w:name="_heading=h.7ih34x1xoxpu"/>
      <w:bookmarkEnd w:id="7"/>
      <w:r>
        <w:rPr>
          <w:rFonts w:eastAsia="Times New Roman" w:cs="Times New Roman" w:ascii="Times New Roman" w:hAnsi="Times New Roman"/>
          <w:sz w:val="24"/>
          <w:szCs w:val="24"/>
        </w:rPr>
        <w:t>Учет доходов и расходов предполагается вести в…, так как….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8" w:name="_heading=h.5p5be2e9sb9b"/>
      <w:bookmarkEnd w:id="8"/>
      <w:r>
        <w:rPr>
          <w:rFonts w:eastAsia="Times New Roman" w:cs="Times New Roman" w:ascii="Times New Roman" w:hAnsi="Times New Roman"/>
          <w:sz w:val="24"/>
          <w:szCs w:val="24"/>
        </w:rPr>
        <w:t>1) Сейчас я пользуюсь картой…, для расчетов была выбрана карта....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и/или 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9" w:name="_heading=h.30j0zll"/>
      <w:bookmarkEnd w:id="9"/>
      <w:r>
        <w:rPr>
          <w:rFonts w:eastAsia="Times New Roman" w:cs="Times New Roman" w:ascii="Times New Roman" w:hAnsi="Times New Roman"/>
          <w:sz w:val="24"/>
          <w:szCs w:val="24"/>
        </w:rPr>
        <w:t>2) Был сформирован инвестиционный портфель состоящий из .... и ...., потому что ....., ожидаемая  доходность портфеля должна составить ..... Данный портфель является ..... и ориентирован на .....</w:t>
      </w:r>
    </w:p>
    <w:p>
      <w:pPr>
        <w:pStyle w:val="Normal"/>
        <w:spacing w:before="0" w:after="20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LOnormal"/>
    <w:link w:val="1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9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tyle17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4"/>
                <c:pt idx="0">
                  <c:v>транспорт</c:v>
                </c:pt>
                <c:pt idx="1">
                  <c:v>развлечения</c:v>
                </c:pt>
                <c:pt idx="2">
                  <c:v>продукты</c:v>
                </c:pt>
                <c:pt idx="3">
                  <c:v>связь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5.8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Столбец 2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4"/>
                <c:pt idx="0">
                  <c:v>транспорт</c:v>
                </c:pt>
                <c:pt idx="1">
                  <c:v>развлечения</c:v>
                </c:pt>
                <c:pt idx="2">
                  <c:v>продукты</c:v>
                </c:pt>
                <c:pt idx="3">
                  <c:v>связь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Столбец 3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4"/>
                <c:pt idx="0">
                  <c:v>транспорт</c:v>
                </c:pt>
                <c:pt idx="1">
                  <c:v>развлечения</c:v>
                </c:pt>
                <c:pt idx="2">
                  <c:v>продукты</c:v>
                </c:pt>
                <c:pt idx="3">
                  <c:v>связь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LibreOffice/7.4.7.2$Linux_X86_64 LibreOffice_project/40$Build-2</Application>
  <AppVersion>15.0000</AppVersion>
  <Pages>6</Pages>
  <Words>596</Words>
  <Characters>3561</Characters>
  <CharactersWithSpaces>4060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2021-10-05T08:21:00Z</dcterms:created>
  <dc:creator>User</dc:creator>
  <dc:description/>
  <dc:language>ru-RU</dc:language>
  <cp:lastModifiedBy/>
  <dcterms:modified xsi:type="dcterms:W3CDTF">2023-11-11T14:23:13Z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