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0A3D5C"/>
          </w:tcPr>
          <w:p>
            <w:r>
              <w:rPr>
                <w:rFonts w:ascii="Calibri" w:hAnsi="Calibri" w:eastAsia="Calibri"/>
                <w:b/>
                <w:i w:val="0"/>
                <w:color w:val="8FD8EA"/>
                <w:sz w:val="18"/>
              </w:rPr>
              <w:t>GENEVA P. DECANO, RPh  |  PRACTICE PROJECT</w:t>
            </w:r>
          </w:p>
          <w:p>
            <w:r>
              <w:rPr>
                <w:rFonts w:ascii="Georgia" w:hAnsi="Georgia" w:eastAsia="Georgia"/>
                <w:b/>
                <w:i w:val="0"/>
                <w:color w:val="FFFFFF"/>
                <w:sz w:val="44"/>
              </w:rPr>
              <w:t>Insurance &amp; Prior Authorization Checklist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CDEEF6"/>
                <w:sz w:val="22"/>
              </w:rPr>
              <w:t>A step-by-step guide to verifying coverage and submitting prior authorization requests</w:t>
            </w:r>
          </w:p>
        </w:tc>
      </w:tr>
    </w:tbl>
    <w:p>
      <w:pPr>
        <w:spacing w:after="80" w:before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D4EEF5"/>
          </w:tcPr>
          <w:p>
            <w:r>
              <w:rPr>
                <w:rFonts w:ascii="Calibri" w:hAnsi="Calibri" w:eastAsia="Calibri"/>
                <w:b w:val="0"/>
                <w:i w:val="0"/>
                <w:color w:val="0A3D5C"/>
                <w:sz w:val="20"/>
              </w:rPr>
              <w:t>Self-study practice document based on general health insurance basics. Processes differ by insurer and country, so always follow the payer’s own requirements.</w:t>
            </w:r>
          </w:p>
        </w:tc>
      </w:tr>
    </w:tbl>
    <w:p>
      <w:pPr>
        <w:spacing w:after="40" w:before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0F7C8F"/>
          </w:tcPr>
          <w:p>
            <w:pPr>
              <w:keepNext/>
            </w:pPr>
            <w:r>
              <w:rPr>
                <w:rFonts w:ascii="Georgia" w:hAnsi="Georgia" w:eastAsia="Georgia"/>
                <w:b/>
                <w:i w:val="0"/>
                <w:color w:val="FFFFFF"/>
                <w:sz w:val="26"/>
              </w:rPr>
              <w:t>Phase 1: Before Contacting the Insurer</w:t>
            </w:r>
          </w:p>
        </w:tc>
      </w:tr>
    </w:tbl>
    <w:p>
      <w:pPr>
        <w:keepNext/>
        <w:spacing w:after="40"/>
      </w:pPr>
    </w:p>
    <w:p>
      <w:pPr>
        <w:spacing w:after="40"/>
        <w:ind w:left="360"/>
      </w:pPr>
      <w:r>
        <w:rPr>
          <w:rFonts w:ascii="Calibri" w:hAnsi="Calibri" w:eastAsia="Calibri"/>
          <w:b w:val="0"/>
          <w:i w:val="0"/>
          <w:sz w:val="21"/>
        </w:rPr>
        <w:t>☐  Patient full name, date of birth, and member ID</w:t>
      </w:r>
    </w:p>
    <w:p>
      <w:pPr>
        <w:spacing w:after="40"/>
        <w:ind w:left="360"/>
      </w:pPr>
      <w:r>
        <w:rPr>
          <w:rFonts w:ascii="Calibri" w:hAnsi="Calibri" w:eastAsia="Calibri"/>
          <w:b w:val="0"/>
          <w:i w:val="0"/>
          <w:sz w:val="21"/>
        </w:rPr>
        <w:t>☐  Insurance company name and group number</w:t>
      </w:r>
    </w:p>
    <w:p>
      <w:pPr>
        <w:spacing w:after="40"/>
        <w:ind w:left="360"/>
      </w:pPr>
      <w:r>
        <w:rPr>
          <w:rFonts w:ascii="Calibri" w:hAnsi="Calibri" w:eastAsia="Calibri"/>
          <w:b w:val="0"/>
          <w:i w:val="0"/>
          <w:sz w:val="21"/>
        </w:rPr>
        <w:t>☐  Provider name, NPI, and clinic contact details</w:t>
      </w:r>
    </w:p>
    <w:p>
      <w:pPr>
        <w:spacing w:after="40"/>
        <w:ind w:left="360"/>
      </w:pPr>
      <w:r>
        <w:rPr>
          <w:rFonts w:ascii="Calibri" w:hAnsi="Calibri" w:eastAsia="Calibri"/>
          <w:b w:val="0"/>
          <w:i w:val="0"/>
          <w:sz w:val="21"/>
        </w:rPr>
        <w:t>☐  Diagnosis code(s) and procedure or medication requested</w:t>
      </w:r>
    </w:p>
    <w:p>
      <w:pPr>
        <w:spacing w:after="40"/>
        <w:ind w:left="360"/>
      </w:pPr>
      <w:r>
        <w:rPr>
          <w:rFonts w:ascii="Calibri" w:hAnsi="Calibri" w:eastAsia="Calibri"/>
          <w:b w:val="0"/>
          <w:i w:val="0"/>
          <w:sz w:val="21"/>
        </w:rPr>
        <w:t>☐  Supporting notes: prior treatments tried, lab results, clinical reason</w:t>
      </w:r>
    </w:p>
    <w:p>
      <w:pPr>
        <w:spacing w:after="80" w:before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0F7C8F"/>
          </w:tcPr>
          <w:p>
            <w:pPr>
              <w:keepNext/>
            </w:pPr>
            <w:r>
              <w:rPr>
                <w:rFonts w:ascii="Georgia" w:hAnsi="Georgia" w:eastAsia="Georgia"/>
                <w:b/>
                <w:i w:val="0"/>
                <w:color w:val="FFFFFF"/>
                <w:sz w:val="26"/>
              </w:rPr>
              <w:t>Phase 2: During the Call or Portal Session</w:t>
            </w:r>
          </w:p>
        </w:tc>
      </w:tr>
    </w:tbl>
    <w:p>
      <w:pPr>
        <w:keepNext/>
        <w:spacing w:after="40"/>
      </w:pPr>
    </w:p>
    <w:p>
      <w:pPr>
        <w:spacing w:after="40"/>
        <w:ind w:left="360"/>
      </w:pPr>
      <w:r>
        <w:rPr>
          <w:rFonts w:ascii="Calibri" w:hAnsi="Calibri" w:eastAsia="Calibri"/>
          <w:b w:val="0"/>
          <w:i w:val="0"/>
          <w:sz w:val="21"/>
        </w:rPr>
        <w:t>☐  Verify that coverage is active and note the effective dates</w:t>
      </w:r>
    </w:p>
    <w:p>
      <w:pPr>
        <w:spacing w:after="40"/>
        <w:ind w:left="360"/>
      </w:pPr>
      <w:r>
        <w:rPr>
          <w:rFonts w:ascii="Calibri" w:hAnsi="Calibri" w:eastAsia="Calibri"/>
          <w:b w:val="0"/>
          <w:i w:val="0"/>
          <w:sz w:val="21"/>
        </w:rPr>
        <w:t>☐  Ask whether prior authorization is required and which form to use</w:t>
      </w:r>
    </w:p>
    <w:p>
      <w:pPr>
        <w:spacing w:after="40"/>
        <w:ind w:left="360"/>
      </w:pPr>
      <w:r>
        <w:rPr>
          <w:rFonts w:ascii="Calibri" w:hAnsi="Calibri" w:eastAsia="Calibri"/>
          <w:b w:val="0"/>
          <w:i w:val="0"/>
          <w:sz w:val="21"/>
        </w:rPr>
        <w:t>☐  Ask about copay, deductible, and in-network requirements</w:t>
      </w:r>
    </w:p>
    <w:p>
      <w:pPr>
        <w:spacing w:after="40"/>
        <w:ind w:left="360"/>
      </w:pPr>
      <w:r>
        <w:rPr>
          <w:rFonts w:ascii="Calibri" w:hAnsi="Calibri" w:eastAsia="Calibri"/>
          <w:b w:val="0"/>
          <w:i w:val="0"/>
          <w:sz w:val="21"/>
        </w:rPr>
        <w:t>☐  Record the reference number, representative name, date, and time</w:t>
      </w:r>
    </w:p>
    <w:p>
      <w:pPr>
        <w:spacing w:after="40"/>
        <w:ind w:left="360"/>
      </w:pPr>
      <w:r>
        <w:rPr>
          <w:rFonts w:ascii="Calibri" w:hAnsi="Calibri" w:eastAsia="Calibri"/>
          <w:b w:val="0"/>
          <w:i w:val="0"/>
          <w:sz w:val="21"/>
        </w:rPr>
        <w:t>☐  Submit documents and confirm they were received</w:t>
      </w:r>
    </w:p>
    <w:p>
      <w:pPr>
        <w:spacing w:after="80" w:before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0F7C8F"/>
          </w:tcPr>
          <w:p>
            <w:pPr>
              <w:keepNext/>
            </w:pPr>
            <w:r>
              <w:rPr>
                <w:rFonts w:ascii="Georgia" w:hAnsi="Georgia" w:eastAsia="Georgia"/>
                <w:b/>
                <w:i w:val="0"/>
                <w:color w:val="FFFFFF"/>
                <w:sz w:val="26"/>
              </w:rPr>
              <w:t>Phase 3: After Submission</w:t>
            </w:r>
          </w:p>
        </w:tc>
      </w:tr>
    </w:tbl>
    <w:p>
      <w:pPr>
        <w:keepNext/>
        <w:spacing w:after="40"/>
      </w:pPr>
    </w:p>
    <w:p>
      <w:pPr>
        <w:spacing w:after="40"/>
        <w:ind w:left="360"/>
      </w:pPr>
      <w:r>
        <w:rPr>
          <w:rFonts w:ascii="Calibri" w:hAnsi="Calibri" w:eastAsia="Calibri"/>
          <w:b w:val="0"/>
          <w:i w:val="0"/>
          <w:sz w:val="21"/>
        </w:rPr>
        <w:t>☐  Note the expected decision timeline and set a follow-up reminder</w:t>
      </w:r>
    </w:p>
    <w:p>
      <w:pPr>
        <w:spacing w:after="40"/>
        <w:ind w:left="360"/>
      </w:pPr>
      <w:r>
        <w:rPr>
          <w:rFonts w:ascii="Calibri" w:hAnsi="Calibri" w:eastAsia="Calibri"/>
          <w:b w:val="0"/>
          <w:i w:val="0"/>
          <w:sz w:val="21"/>
        </w:rPr>
        <w:t>☐  Inform the provider and the patient of the outcome</w:t>
      </w:r>
    </w:p>
    <w:p>
      <w:pPr>
        <w:spacing w:after="40"/>
        <w:ind w:left="360"/>
      </w:pPr>
      <w:r>
        <w:rPr>
          <w:rFonts w:ascii="Calibri" w:hAnsi="Calibri" w:eastAsia="Calibri"/>
          <w:b w:val="0"/>
          <w:i w:val="0"/>
          <w:sz w:val="21"/>
        </w:rPr>
        <w:t>☐  If denied, flag it for the provider and gather appeal documents</w:t>
      </w:r>
    </w:p>
    <w:p>
      <w:pPr>
        <w:spacing w:after="40"/>
        <w:ind w:left="360"/>
      </w:pPr>
      <w:r>
        <w:rPr>
          <w:rFonts w:ascii="Calibri" w:hAnsi="Calibri" w:eastAsia="Calibri"/>
          <w:b w:val="0"/>
          <w:i w:val="0"/>
          <w:sz w:val="21"/>
        </w:rPr>
        <w:t>☐  File all records securely, sharing only the minimum necessary information</w:t>
      </w:r>
    </w:p>
    <w:p>
      <w:pPr>
        <w:spacing w:after="80" w:before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0F7C8F"/>
          </w:tcPr>
          <w:p>
            <w:pPr>
              <w:keepNext/>
            </w:pPr>
            <w:r>
              <w:rPr>
                <w:rFonts w:ascii="Georgia" w:hAnsi="Georgia" w:eastAsia="Georgia"/>
                <w:b/>
                <w:i w:val="0"/>
                <w:color w:val="FFFFFF"/>
                <w:sz w:val="26"/>
              </w:rPr>
              <w:t>Prior Authorization Tracker (fictional)</w:t>
            </w:r>
          </w:p>
        </w:tc>
      </w:tr>
    </w:tbl>
    <w:p>
      <w:pPr>
        <w:keepNext/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DFE7"/>
          <w:left w:val="single" w:sz="4" w:color="BFDFE7"/>
          <w:bottom w:val="single" w:sz="4" w:color="BFDFE7"/>
          <w:right w:val="single" w:sz="4" w:color="BFDFE7"/>
          <w:insideH w:val="single" w:sz="4" w:color="BFDFE7"/>
          <w:insideV w:val="single" w:sz="4" w:color="BFDFE7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728"/>
            <w:shd w:val="clear" w:color="auto" w:fill="0F7C8F"/>
          </w:tcPr>
          <w:p>
            <w:pPr>
              <w:keepNext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Patient</w:t>
            </w:r>
          </w:p>
        </w:tc>
        <w:tc>
          <w:tcPr>
            <w:tcW w:type="dxa" w:w="1872"/>
            <w:shd w:val="clear" w:color="auto" w:fill="0F7C8F"/>
          </w:tcPr>
          <w:p>
            <w:pPr>
              <w:keepNext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Service / Drug</w:t>
            </w:r>
          </w:p>
        </w:tc>
        <w:tc>
          <w:tcPr>
            <w:tcW w:type="dxa" w:w="1296"/>
            <w:shd w:val="clear" w:color="auto" w:fill="0F7C8F"/>
          </w:tcPr>
          <w:p>
            <w:pPr>
              <w:keepNext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Submitted</w:t>
            </w:r>
          </w:p>
        </w:tc>
        <w:tc>
          <w:tcPr>
            <w:tcW w:type="dxa" w:w="1584"/>
            <w:shd w:val="clear" w:color="auto" w:fill="0F7C8F"/>
          </w:tcPr>
          <w:p>
            <w:pPr>
              <w:keepNext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Reference #</w:t>
            </w:r>
          </w:p>
        </w:tc>
        <w:tc>
          <w:tcPr>
            <w:tcW w:type="dxa" w:w="1296"/>
            <w:shd w:val="clear" w:color="auto" w:fill="0F7C8F"/>
          </w:tcPr>
          <w:p>
            <w:pPr>
              <w:keepNext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Follow-up</w:t>
            </w:r>
          </w:p>
        </w:tc>
        <w:tc>
          <w:tcPr>
            <w:tcW w:type="dxa" w:w="2160"/>
            <w:shd w:val="clear" w:color="auto" w:fill="0F7C8F"/>
          </w:tcPr>
          <w:p>
            <w:pPr>
              <w:keepNext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[Sample 1]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[item]</w:t>
            </w:r>
          </w:p>
        </w:tc>
        <w:tc>
          <w:tcPr>
            <w:tcW w:type="dxa" w:w="129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[date]</w:t>
            </w:r>
          </w:p>
        </w:tc>
        <w:tc>
          <w:tcPr>
            <w:tcW w:type="dxa" w:w="1584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[number]</w:t>
            </w:r>
          </w:p>
        </w:tc>
        <w:tc>
          <w:tcPr>
            <w:tcW w:type="dxa" w:w="129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[date]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Pending</w:t>
            </w:r>
          </w:p>
        </w:tc>
      </w:tr>
      <w:tr>
        <w:tc>
          <w:tcPr>
            <w:tcW w:type="dxa" w:w="1728"/>
            <w:shd w:val="clear" w:color="auto" w:fill="EEF8FB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[Sample 2]</w:t>
            </w:r>
          </w:p>
        </w:tc>
        <w:tc>
          <w:tcPr>
            <w:tcW w:type="dxa" w:w="1872"/>
            <w:shd w:val="clear" w:color="auto" w:fill="EEF8FB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[item]</w:t>
            </w:r>
          </w:p>
        </w:tc>
        <w:tc>
          <w:tcPr>
            <w:tcW w:type="dxa" w:w="1296"/>
            <w:shd w:val="clear" w:color="auto" w:fill="EEF8FB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[date]</w:t>
            </w:r>
          </w:p>
        </w:tc>
        <w:tc>
          <w:tcPr>
            <w:tcW w:type="dxa" w:w="1584"/>
            <w:shd w:val="clear" w:color="auto" w:fill="EEF8FB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[number]</w:t>
            </w:r>
          </w:p>
        </w:tc>
        <w:tc>
          <w:tcPr>
            <w:tcW w:type="dxa" w:w="1296"/>
            <w:shd w:val="clear" w:color="auto" w:fill="EEF8FB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[date]</w:t>
            </w:r>
          </w:p>
        </w:tc>
        <w:tc>
          <w:tcPr>
            <w:tcW w:type="dxa" w:w="2160"/>
            <w:shd w:val="clear" w:color="auto" w:fill="EEF8FB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Approved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[Sample 3]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[item]</w:t>
            </w:r>
          </w:p>
        </w:tc>
        <w:tc>
          <w:tcPr>
            <w:tcW w:type="dxa" w:w="129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[date]</w:t>
            </w:r>
          </w:p>
        </w:tc>
        <w:tc>
          <w:tcPr>
            <w:tcW w:type="dxa" w:w="1584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[number]</w:t>
            </w:r>
          </w:p>
        </w:tc>
        <w:tc>
          <w:tcPr>
            <w:tcW w:type="dxa" w:w="129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[date]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Denied: appeal</w:t>
            </w:r>
          </w:p>
        </w:tc>
      </w:tr>
    </w:tbl>
    <w:p>
      <w:pPr>
        <w:spacing w:after="80" w:before="0"/>
      </w:pPr>
    </w:p>
    <w:p>
      <w:pPr>
        <w:spacing w:after="80"/>
      </w:pPr>
      <w:r>
        <w:rPr>
          <w:rFonts w:ascii="Calibri" w:hAnsi="Calibri" w:eastAsia="Calibri"/>
          <w:b w:val="0"/>
          <w:i/>
          <w:color w:val="4A5568"/>
          <w:sz w:val="18"/>
        </w:rPr>
        <w:t>Practice project with fictional data. Created while studying health insurance basics.</w:t>
      </w:r>
    </w:p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