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pPr>
      <w:r>
        <w:rPr>
          <w:rFonts w:ascii="Arial" w:cs="Arial" w:eastAsia="Arial" w:hAnsi="Arial"/>
          <w:b/>
          <w:bCs/>
          <w:color w:val="0F2D4A"/>
          <w:sz w:val="64"/>
          <w:szCs w:val="64"/>
        </w:rPr>
        <w:t xml:space="preserve">capital-calm-ai</w:t>
      </w:r>
    </w:p>
    <w:p>
      <w:pPr>
        <w:spacing w:after="200"/>
      </w:pPr>
      <w:r>
        <w:rPr>
          <w:rFonts w:ascii="Arial" w:cs="Arial" w:eastAsia="Arial" w:hAnsi="Arial"/>
          <w:color w:val="2B6CB0"/>
          <w:sz w:val="40"/>
          <w:szCs w:val="40"/>
        </w:rPr>
        <w:t xml:space="preserve">Comprehensive Multi-Expert Codebase Audit</w:t>
      </w:r>
    </w:p>
    <w:p>
      <w:pPr>
        <w:pBdr>
          <w:bottom w:val="single" w:color="1A56A0" w:sz="12" w:space="1"/>
        </w:pBdr>
        <w:spacing w:after="400"/>
      </w:pPr>
    </w:p>
    <w:p>
      <w:pPr>
        <w:spacing w:after="100"/>
      </w:pPr>
      <w:r>
        <w:rPr>
          <w:rFonts w:ascii="Arial" w:cs="Arial" w:eastAsia="Arial" w:hAnsi="Arial"/>
          <w:color w:val="555577"/>
          <w:sz w:val="24"/>
          <w:szCs w:val="24"/>
        </w:rPr>
        <w:t xml:space="preserve">Date: April 28, 2026    |    Commit: 5cf284b    |    85 commits audited</w:t>
      </w:r>
    </w:p>
    <w:p>
      <w:pPr>
        <w:spacing w:after="100"/>
      </w:pPr>
      <w:r>
        <w:rPr>
          <w:rFonts w:ascii="Arial" w:cs="Arial" w:eastAsia="Arial" w:hAnsi="Arial"/>
          <w:color w:val="555577"/>
          <w:sz w:val="24"/>
          <w:szCs w:val="24"/>
        </w:rPr>
        <w:t xml:space="preserve">Repository: github.com/decdec420/capital-calm-ai</w:t>
      </w:r>
    </w:p>
    <w:p>
      <w:pPr>
        <w:spacing w:after="80"/>
      </w:pPr>
    </w:p>
    <w:p>
      <w:pPr>
        <w:spacing w:after="80"/>
      </w:pPr>
    </w:p>
    <w:p>
      <w:pPr>
        <w:spacing w:after="100"/>
      </w:pPr>
      <w:r>
        <w:rPr>
          <w:rFonts w:ascii="Arial" w:cs="Arial" w:eastAsia="Arial" w:hAnsi="Arial"/>
          <w:b/>
          <w:bCs/>
          <w:color w:val="0F2D4A"/>
          <w:sz w:val="24"/>
          <w:szCs w:val="24"/>
        </w:rPr>
        <w:t xml:space="preserve">Expert Perspectives Covered</w:t>
      </w:r>
    </w:p>
    <w:p>
      <w:pPr>
        <w:pStyle w:val="ListParagraph"/>
        <w:numPr>
          <w:ilvl w:val="0"/>
          <w:numId w:val="2"/>
        </w:numPr>
        <w:spacing w:after="100"/>
      </w:pPr>
      <w:r>
        <w:rPr>
          <w:rFonts w:ascii="Arial" w:cs="Arial" w:eastAsia="Arial" w:hAnsi="Arial"/>
          <w:b w:val="false"/>
          <w:bCs w:val="false"/>
          <w:color w:val="1A1A2E"/>
          <w:sz w:val="22"/>
          <w:szCs w:val="22"/>
        </w:rPr>
        <w:t xml:space="preserve">Systems Architecture &amp; Design</w:t>
      </w:r>
    </w:p>
    <w:p>
      <w:pPr>
        <w:pStyle w:val="ListParagraph"/>
        <w:numPr>
          <w:ilvl w:val="0"/>
          <w:numId w:val="2"/>
        </w:numPr>
        <w:spacing w:after="100"/>
      </w:pPr>
      <w:r>
        <w:rPr>
          <w:rFonts w:ascii="Arial" w:cs="Arial" w:eastAsia="Arial" w:hAnsi="Arial"/>
          <w:b w:val="false"/>
          <w:bCs w:val="false"/>
          <w:color w:val="1A1A2E"/>
          <w:sz w:val="22"/>
          <w:szCs w:val="22"/>
        </w:rPr>
        <w:t xml:space="preserve">Security Engineering</w:t>
      </w:r>
    </w:p>
    <w:p>
      <w:pPr>
        <w:pStyle w:val="ListParagraph"/>
        <w:numPr>
          <w:ilvl w:val="0"/>
          <w:numId w:val="2"/>
        </w:numPr>
        <w:spacing w:after="100"/>
      </w:pPr>
      <w:r>
        <w:rPr>
          <w:rFonts w:ascii="Arial" w:cs="Arial" w:eastAsia="Arial" w:hAnsi="Arial"/>
          <w:b w:val="false"/>
          <w:bCs w:val="false"/>
          <w:color w:val="1A1A2E"/>
          <w:sz w:val="22"/>
          <w:szCs w:val="22"/>
        </w:rPr>
        <w:t xml:space="preserve">Risk Engineering &amp; Capital Preservation</w:t>
      </w:r>
    </w:p>
    <w:p>
      <w:pPr>
        <w:pStyle w:val="ListParagraph"/>
        <w:numPr>
          <w:ilvl w:val="0"/>
          <w:numId w:val="2"/>
        </w:numPr>
        <w:spacing w:after="100"/>
      </w:pPr>
      <w:r>
        <w:rPr>
          <w:rFonts w:ascii="Arial" w:cs="Arial" w:eastAsia="Arial" w:hAnsi="Arial"/>
          <w:b w:val="false"/>
          <w:bCs w:val="false"/>
          <w:color w:val="1A1A2E"/>
          <w:sz w:val="22"/>
          <w:szCs w:val="22"/>
        </w:rPr>
        <w:t xml:space="preserve">Quantitative Finance &amp; Backtesting</w:t>
      </w:r>
    </w:p>
    <w:p>
      <w:pPr>
        <w:pStyle w:val="ListParagraph"/>
        <w:numPr>
          <w:ilvl w:val="0"/>
          <w:numId w:val="2"/>
        </w:numPr>
        <w:spacing w:after="100"/>
      </w:pPr>
      <w:r>
        <w:rPr>
          <w:rFonts w:ascii="Arial" w:cs="Arial" w:eastAsia="Arial" w:hAnsi="Arial"/>
          <w:b w:val="false"/>
          <w:bCs w:val="false"/>
          <w:color w:val="1A1A2E"/>
          <w:sz w:val="22"/>
          <w:szCs w:val="22"/>
        </w:rPr>
        <w:t xml:space="preserve">Database Engineering (PostgreSQL / Supabase)</w:t>
      </w:r>
    </w:p>
    <w:p>
      <w:pPr>
        <w:pStyle w:val="ListParagraph"/>
        <w:numPr>
          <w:ilvl w:val="0"/>
          <w:numId w:val="2"/>
        </w:numPr>
        <w:spacing w:after="100"/>
      </w:pPr>
      <w:r>
        <w:rPr>
          <w:rFonts w:ascii="Arial" w:cs="Arial" w:eastAsia="Arial" w:hAnsi="Arial"/>
          <w:b w:val="false"/>
          <w:bCs w:val="false"/>
          <w:color w:val="1A1A2E"/>
          <w:sz w:val="22"/>
          <w:szCs w:val="22"/>
        </w:rPr>
        <w:t xml:space="preserve">Frontend Engineering (React / TypeScript)</w:t>
      </w:r>
    </w:p>
    <w:p>
      <w:pPr>
        <w:pStyle w:val="ListParagraph"/>
        <w:numPr>
          <w:ilvl w:val="0"/>
          <w:numId w:val="2"/>
        </w:numPr>
        <w:spacing w:after="100"/>
      </w:pPr>
      <w:r>
        <w:rPr>
          <w:rFonts w:ascii="Arial" w:cs="Arial" w:eastAsia="Arial" w:hAnsi="Arial"/>
          <w:b w:val="false"/>
          <w:bCs w:val="false"/>
          <w:color w:val="1A1A2E"/>
          <w:sz w:val="22"/>
          <w:szCs w:val="22"/>
        </w:rPr>
        <w:t xml:space="preserve">AI / LLM Integration Engineering</w:t>
      </w:r>
    </w:p>
    <w:p>
      <w:pPr>
        <w:pStyle w:val="ListParagraph"/>
        <w:numPr>
          <w:ilvl w:val="0"/>
          <w:numId w:val="2"/>
        </w:numPr>
        <w:spacing w:after="100"/>
      </w:pPr>
      <w:r>
        <w:rPr>
          <w:rFonts w:ascii="Arial" w:cs="Arial" w:eastAsia="Arial" w:hAnsi="Arial"/>
          <w:b w:val="false"/>
          <w:bCs w:val="false"/>
          <w:color w:val="1A1A2E"/>
          <w:sz w:val="22"/>
          <w:szCs w:val="22"/>
        </w:rPr>
        <w:t xml:space="preserve">Testing &amp; Observability (SRE / QA)</w:t>
      </w:r>
    </w:p>
    <w:p>
      <w:pPr>
        <w:pStyle w:val="ListParagraph"/>
        <w:numPr>
          <w:ilvl w:val="0"/>
          <w:numId w:val="2"/>
        </w:numPr>
        <w:spacing w:after="100"/>
      </w:pPr>
      <w:r>
        <w:rPr>
          <w:rFonts w:ascii="Arial" w:cs="Arial" w:eastAsia="Arial" w:hAnsi="Arial"/>
          <w:b w:val="false"/>
          <w:bCs w:val="false"/>
          <w:color w:val="1A1A2E"/>
          <w:sz w:val="22"/>
          <w:szCs w:val="22"/>
        </w:rPr>
        <w:t xml:space="preserve">Operational Readiness &amp; Deployment</w:t>
      </w:r>
    </w:p>
    <w:p>
      <w:pPr>
        <w:spacing w:after="80"/>
      </w:pPr>
    </w:p>
    <w:p>
      <w:pPr>
        <w:spacing w:after="80"/>
      </w:pPr>
    </w:p>
    <w:tbl>
      <w:tblPr>
        <w:tblW w:type="dxa" w:w="9360"/>
        <w:tblBorders>
          <w:top w:val="single" w:color="1A56A0"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A0" w:sz="12"/>
              <w:left w:val="none" w:color="FFFFFF" w:sz="0"/>
              <w:bottom w:val="none" w:color="FFFFFF" w:sz="0"/>
              <w:right w:val="none" w:color="FFFFFF" w:sz="0"/>
            </w:tcBorders>
            <w:shd w:fill="D6E8F7" w:val="clear"/>
            <w:tcMar>
              <w:top w:type="dxa" w:w="140"/>
              <w:left w:type="dxa" w:w="200"/>
              <w:bottom w:type="dxa" w:w="140"/>
              <w:right w:type="dxa" w:w="200"/>
            </w:tcMar>
          </w:tcPr>
          <w:p>
            <w:pPr>
              <w:spacing w:after="50"/>
            </w:pPr>
            <w:r>
              <w:rPr>
                <w:rFonts w:ascii="Arial" w:cs="Arial" w:eastAsia="Arial" w:hAnsi="Arial"/>
                <w:b/>
                <w:bCs/>
                <w:color w:val="0F2D4A"/>
                <w:sz w:val="20"/>
                <w:szCs w:val="20"/>
              </w:rPr>
              <w:t xml:space="preserve">Scope</w:t>
            </w:r>
          </w:p>
          <w:p>
            <w:pPr>
              <w:spacing w:after="0"/>
            </w:pPr>
            <w:r>
              <w:rPr>
                <w:rFonts w:ascii="Arial" w:cs="Arial" w:eastAsia="Arial" w:hAnsi="Arial"/>
                <w:color w:val="1A1A2E"/>
                <w:sz w:val="21"/>
                <w:szCs w:val="21"/>
              </w:rPr>
              <w:t xml:space="preserve">This audit covers all 51 database migrations, 21 Supabase edge functions, 9 shared backend modules, 12 data hooks, 17+ trader UI components, 9 test files, the complete backtest engine, and the live Coinbase broker integration layer. The prior audit covered commit 72dcef0; this sprint introduced live broker execution, the Brain Trust multi-agent stack, anti-tilt mechanics, event-mode gating, and a full test suite in 85 commits.</w:t>
            </w:r>
          </w:p>
        </w:tc>
      </w:tr>
    </w:tbl>
    <w:p>
      <w:pPr>
        <w:sectPr>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Executive Summary</w:t>
      </w:r>
    </w:p>
    <w:p>
      <w:pPr>
        <w:spacing w:after="160"/>
      </w:pPr>
      <w:r>
        <w:rPr>
          <w:rFonts w:ascii="Arial" w:cs="Arial" w:eastAsia="Arial" w:hAnsi="Arial"/>
          <w:b w:val="false"/>
          <w:bCs w:val="false"/>
          <w:color w:val="1A1A2E"/>
          <w:sz w:val="22"/>
          <w:szCs w:val="22"/>
        </w:rPr>
        <w:t xml:space="preserve">This audit covers the largest sprint in the project's history — 85 commits transforming capital-calm-ai from a paper-trading AI assistant into a system capable of placing real money on Coinbase Advanced Trade. The capital-preservation doctrine is thoughtful and the multi-layer risk architecture is genuinely defense-in-depth. However, two critical execution-layer gaps in the live broker path must be resolved before the system operates autonomously with real funds above the current $1-per-order Sentinel ceiling.</w:t>
      </w:r>
    </w:p>
    <w:p>
      <w:pPr>
        <w:spacing w:after="80"/>
      </w:pPr>
    </w:p>
    <w:p>
      <w:pPr>
        <w:pStyle w:val="Heading2"/>
        <w:spacing w:after="160" w:before="360"/>
      </w:pPr>
      <w:r>
        <w:rPr>
          <w:rFonts w:ascii="Arial" w:cs="Arial" w:eastAsia="Arial" w:hAnsi="Arial"/>
          <w:b/>
          <w:bCs/>
          <w:color w:val="2B6CB0"/>
          <w:sz w:val="28"/>
          <w:szCs w:val="28"/>
        </w:rPr>
        <w:t xml:space="preserve">Headline Findings</w:t>
      </w:r>
    </w:p>
    <w:p>
      <w:pPr>
        <w:spacing w:after="80"/>
      </w:pP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CRITICAL — Ghost Trade Window</w:t>
            </w:r>
          </w:p>
          <w:p>
            <w:pPr>
              <w:spacing w:after="0"/>
            </w:pPr>
            <w:r>
              <w:rPr>
                <w:rFonts w:ascii="Arial" w:cs="Arial" w:eastAsia="Arial" w:hAnsi="Arial"/>
                <w:color w:val="1A1A2E"/>
                <w:sz w:val="21"/>
                <w:szCs w:val="21"/>
              </w:rPr>
              <w:t xml:space="preserve">If placeMarketBuy() succeeds but the subsequent DB INSERT fails, a real Coinbase position is held with no corresponding DB trade row. The kill-switch, mark-to-market, and stop-loss checks all read from the DB — they are completely blind to the orphaned position. The fix is a two-phase write: pre-insert a 'pending' row before calling the broker, update on fill. See Section 3.1.</w:t>
            </w:r>
          </w:p>
        </w:tc>
      </w:tr>
    </w:tbl>
    <w:p>
      <w:pPr>
        <w:spacing w:after="80"/>
      </w:pP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CRITICAL — No Idempotency on Auto-Execute</w:t>
            </w:r>
          </w:p>
          <w:p>
            <w:pPr>
              <w:spacing w:after="0"/>
            </w:pPr>
            <w:r>
              <w:rPr>
                <w:rFonts w:ascii="Arial" w:cs="Arial" w:eastAsia="Arial" w:hAnsi="Arial"/>
                <w:color w:val="1A1A2E"/>
                <w:sz w:val="21"/>
                <w:szCs w:val="21"/>
              </w:rPr>
              <w:t xml:space="preserve">clientOrderId = crypto.randomUUID() is called each invocation. If the Deno isolate crashes and Supabase retries the function, a fresh UUID fires a second BUY. Coinbase cannot deduplicate without a stable idempotency key. The fix is to generate and persist the clientOrderId before calling the broker. See Section 3.2.</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Two Parallel Backtest Engines With Diverging Cost Models</w:t>
            </w:r>
          </w:p>
          <w:p>
            <w:pPr>
              <w:spacing w:after="0"/>
            </w:pPr>
            <w:r>
              <w:rPr>
                <w:rFonts w:ascii="Arial" w:cs="Arial" w:eastAsia="Arial" w:hAnsi="Arial"/>
                <w:color w:val="1A1A2E"/>
                <w:sz w:val="21"/>
                <w:szCs w:val="21"/>
              </w:rPr>
              <w:t xml:space="preserve">backtest.ts (UI) applies fees + slippage; backtest-shared.ts (run-experiment edge function) does not. Experiments are accepted/rejected on gross R but the operator evaluates them on net R. This gap can flip decisions at thin margin strategies. See Section 4.1.</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Realtime Channel Leak Pattern</w:t>
            </w:r>
          </w:p>
          <w:p>
            <w:pPr>
              <w:spacing w:after="0"/>
            </w:pPr>
            <w:r>
              <w:rPr>
                <w:rFonts w:ascii="Arial" w:cs="Arial" w:eastAsia="Arial" w:hAnsi="Arial"/>
                <w:color w:val="1A1A2E"/>
                <w:sz w:val="21"/>
                <w:szCs w:val="21"/>
              </w:rPr>
              <w:t xml:space="preserve">Every hook opens an independent Supabase realtime channel. 12+ hooks per page = 12+ WebSocket subscriptions. Over a multi-hour session under React HMR or certain navigation patterns, orphaned channels accumulate toward Supabase's per-project subscription limit. See Section 6.1.</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No Tests for the Broker Layer</w:t>
            </w:r>
          </w:p>
          <w:p>
            <w:pPr>
              <w:spacing w:after="0"/>
            </w:pPr>
            <w:r>
              <w:rPr>
                <w:rFonts w:ascii="Arial" w:cs="Arial" w:eastAsia="Arial" w:hAnsi="Arial"/>
                <w:color w:val="1A1A2E"/>
                <w:sz w:val="21"/>
                <w:szCs w:val="21"/>
              </w:rPr>
              <w:t xml:space="preserve">broker.ts is the highest-consequence file in the system and has zero test coverage. See Section 8.2.</w:t>
            </w:r>
          </w:p>
        </w:tc>
      </w:tr>
    </w:tbl>
    <w:p>
      <w:pPr>
        <w:spacing w:after="80"/>
      </w:pP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STRENGTH — Layered Risk Gate Architecture</w:t>
            </w:r>
          </w:p>
          <w:p>
            <w:pPr>
              <w:spacing w:after="0"/>
            </w:pPr>
            <w:r>
              <w:rPr>
                <w:rFonts w:ascii="Arial" w:cs="Arial" w:eastAsia="Arial" w:hAnsi="Arial"/>
                <w:color w:val="1A1A2E"/>
                <w:sz w:val="21"/>
                <w:szCs w:val="21"/>
              </w:rPr>
              <w:t xml:space="preserve">Five independent defense layers between any code path and an out-of-doctrine trade: doctrine invariants at cold-start, DB CHECK constraints, server-authoritative clampSize, evaluateRiskGates before every signal insert, and the daily auto-execute SQL cap function.</w:t>
            </w:r>
          </w:p>
        </w:tc>
      </w:tr>
    </w:tbl>
    <w:p>
      <w:pPr>
        <w:spacing w:after="80"/>
      </w:pP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STRENGTH — Test Suite Coverage of Critical Paths</w:t>
            </w:r>
          </w:p>
          <w:p>
            <w:pPr>
              <w:spacing w:after="0"/>
            </w:pPr>
            <w:r>
              <w:rPr>
                <w:rFonts w:ascii="Arial" w:cs="Arial" w:eastAsia="Arial" w:hAnsi="Arial"/>
                <w:color w:val="1A1A2E"/>
                <w:sz w:val="21"/>
                <w:szCs w:val="21"/>
              </w:rPr>
              <w:t xml:space="preserve">9 test files covering FSM transitions, risk gate stack, sizing clamp, backtest engine, regime classifier, doctrine invariants, and event-mode UI. The lifecycle integration test stitches the full chain in one scenario.</w:t>
            </w:r>
          </w:p>
        </w:tc>
      </w:tr>
    </w:tbl>
    <w:p>
      <w:pPr>
        <w:spacing w:after="80"/>
      </w:pP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STRENGTH — Anti-Tilt, Event Mode, and Circuit Breaker</w:t>
            </w:r>
          </w:p>
          <w:p>
            <w:pPr>
              <w:spacing w:after="0"/>
            </w:pPr>
            <w:r>
              <w:rPr>
                <w:rFonts w:ascii="Arial" w:cs="Arial" w:eastAsia="Arial" w:hAnsi="Arial"/>
                <w:color w:val="1A1A2E"/>
                <w:sz w:val="21"/>
                <w:szCs w:val="21"/>
              </w:rPr>
              <w:t xml:space="preserve">Three mature safety patterns implemented correctly: anti-tilt consecutive-loss hard stop, event-mode trading pauses for macro events, and an LLM circuit breaker in signal-engine to fail-closed on AI gateway outages.</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1 — Systems Architecture &amp; Design</w:t>
      </w:r>
    </w:p>
    <w:p>
      <w:pPr>
        <w:spacing w:after="160"/>
      </w:pPr>
      <w:r>
        <w:rPr>
          <w:rFonts w:ascii="Arial" w:cs="Arial" w:eastAsia="Arial" w:hAnsi="Arial"/>
          <w:b w:val="false"/>
          <w:bCs w:val="false"/>
          <w:color w:val="1A1A2E"/>
          <w:sz w:val="22"/>
          <w:szCs w:val="22"/>
        </w:rPr>
        <w:t xml:space="preserve">The architecture has matured significantly. The system is now a three-tier design: a React SPA for the operator dashboard, Supabase Postgres as the authoritative state store, and a fleet of Deno edge functions as the execution plane. The Suits Desk agent layer (Jessica/Harvey/Donna/Mike/Louis/Rachel/Katrina) sits atop the execution plane as an orchestration concern.</w:t>
      </w:r>
    </w:p>
    <w:p>
      <w:pPr>
        <w:pStyle w:val="Heading2"/>
        <w:spacing w:after="160" w:before="360"/>
      </w:pPr>
      <w:r>
        <w:rPr>
          <w:rFonts w:ascii="Arial" w:cs="Arial" w:eastAsia="Arial" w:hAnsi="Arial"/>
          <w:b/>
          <w:bCs/>
          <w:color w:val="2B6CB0"/>
          <w:sz w:val="28"/>
          <w:szCs w:val="28"/>
        </w:rPr>
        <w:t xml:space="preserve">1.1 What's Working Well</w:t>
      </w:r>
    </w:p>
    <w:p>
      <w:pPr>
        <w:pStyle w:val="ListParagraph"/>
        <w:numPr>
          <w:ilvl w:val="0"/>
          <w:numId w:val="2"/>
        </w:numPr>
        <w:spacing w:after="100"/>
      </w:pPr>
      <w:r>
        <w:rPr>
          <w:rFonts w:ascii="Arial" w:cs="Arial" w:eastAsia="Arial" w:hAnsi="Arial"/>
          <w:b w:val="false"/>
          <w:bCs w:val="false"/>
          <w:color w:val="1A1A2E"/>
          <w:sz w:val="22"/>
          <w:szCs w:val="22"/>
        </w:rPr>
        <w:t xml:space="preserve">The _shared/ module boundary is clean. All safety-critical logic (doctrine, sizing, risk gates, lifecycle FSM, broker) is imported from a single canonical source. Browser mirror modules are clearly flagged as requiring lock-step maintenance.</w:t>
      </w:r>
    </w:p>
    <w:p>
      <w:pPr>
        <w:pStyle w:val="ListParagraph"/>
        <w:numPr>
          <w:ilvl w:val="0"/>
          <w:numId w:val="2"/>
        </w:numPr>
        <w:spacing w:after="100"/>
      </w:pPr>
      <w:r>
        <w:rPr>
          <w:rFonts w:ascii="Arial" w:cs="Arial" w:eastAsia="Arial" w:hAnsi="Arial"/>
          <w:b w:val="false"/>
          <w:bCs w:val="false"/>
          <w:color w:val="1A1A2E"/>
          <w:sz w:val="22"/>
          <w:szCs w:val="22"/>
        </w:rPr>
        <w:t xml:space="preserve">The fail-safe contract in broker.ts is correctly stated: every exported function THROWS on failure, and callers must not write the DB record if the broker throws. This is the right principle — it is just not fully enforced structurally (see Critical Findings, Section 3).</w:t>
      </w:r>
    </w:p>
    <w:p>
      <w:pPr>
        <w:pStyle w:val="ListParagraph"/>
        <w:numPr>
          <w:ilvl w:val="0"/>
          <w:numId w:val="2"/>
        </w:numPr>
        <w:spacing w:after="100"/>
      </w:pPr>
      <w:r>
        <w:rPr>
          <w:rFonts w:ascii="Arial" w:cs="Arial" w:eastAsia="Arial" w:hAnsi="Arial"/>
          <w:b w:val="false"/>
          <w:bCs w:val="false"/>
          <w:color w:val="1A1A2E"/>
          <w:sz w:val="22"/>
          <w:szCs w:val="22"/>
        </w:rPr>
        <w:t xml:space="preserve">The LLM circuit breaker in signal-engine (trip after 3 failures, 60s open window, half-open probe) is a mature pattern. Most trading-adjacent AI systems skip this entirely.</w:t>
      </w:r>
    </w:p>
    <w:p>
      <w:pPr>
        <w:pStyle w:val="ListParagraph"/>
        <w:numPr>
          <w:ilvl w:val="0"/>
          <w:numId w:val="2"/>
        </w:numPr>
        <w:spacing w:after="100"/>
      </w:pPr>
      <w:r>
        <w:rPr>
          <w:rFonts w:ascii="Arial" w:cs="Arial" w:eastAsia="Arial" w:hAnsi="Arial"/>
          <w:b w:val="false"/>
          <w:bCs w:val="false"/>
          <w:color w:val="1A1A2E"/>
          <w:sz w:val="22"/>
          <w:szCs w:val="22"/>
        </w:rPr>
        <w:t xml:space="preserve">The EngineSnapshot pattern — persist once per tick to system_state.last_engine_snapshot, consumed by the UI — cleanly surfaces internal engine reasoning without a new table or polling endpoint.</w:t>
      </w:r>
    </w:p>
    <w:p>
      <w:pPr>
        <w:pStyle w:val="ListParagraph"/>
        <w:numPr>
          <w:ilvl w:val="0"/>
          <w:numId w:val="2"/>
        </w:numPr>
        <w:spacing w:after="100"/>
      </w:pPr>
      <w:r>
        <w:rPr>
          <w:rFonts w:ascii="Arial" w:cs="Arial" w:eastAsia="Arial" w:hAnsi="Arial"/>
          <w:b w:val="false"/>
          <w:bCs w:val="false"/>
          <w:color w:val="1A1A2E"/>
          <w:sz w:val="22"/>
          <w:szCs w:val="22"/>
        </w:rPr>
        <w:t xml:space="preserve">validateDoctrineInvariants() runs at cold-start in every edge function, failing loudly if numerical constants drift. This is the right place to catch drift between the frontend mirror and the authoritative backend.</w:t>
      </w:r>
    </w:p>
    <w:p>
      <w:pPr>
        <w:spacing w:after="80"/>
      </w:pPr>
    </w:p>
    <w:p>
      <w:pPr>
        <w:pStyle w:val="Heading2"/>
        <w:spacing w:after="160" w:before="360"/>
      </w:pPr>
      <w:r>
        <w:rPr>
          <w:rFonts w:ascii="Arial" w:cs="Arial" w:eastAsia="Arial" w:hAnsi="Arial"/>
          <w:b/>
          <w:bCs/>
          <w:color w:val="2B6CB0"/>
          <w:sz w:val="28"/>
          <w:szCs w:val="28"/>
        </w:rPr>
        <w:t xml:space="preserve">1.2 Architectural Concerns</w:t>
      </w:r>
    </w:p>
    <w:p>
      <w:pPr>
        <w:pStyle w:val="Heading3"/>
        <w:spacing w:after="100" w:before="240"/>
      </w:pPr>
      <w:r>
        <w:rPr>
          <w:rFonts w:ascii="Arial" w:cs="Arial" w:eastAsia="Arial" w:hAnsi="Arial"/>
          <w:b/>
          <w:bCs/>
          <w:color w:val="1A1A2E"/>
          <w:sz w:val="24"/>
          <w:szCs w:val="24"/>
        </w:rPr>
        <w:t xml:space="preserve">A. The agent fanout model has no delivery guarantees</w:t>
      </w:r>
    </w:p>
    <w:p>
      <w:pPr>
        <w:spacing w:after="160"/>
      </w:pPr>
      <w:r>
        <w:rPr>
          <w:rFonts w:ascii="Arial" w:cs="Arial" w:eastAsia="Arial" w:hAnsi="Arial"/>
          <w:b w:val="false"/>
          <w:bCs w:val="false"/>
          <w:color w:val="1A1A2E"/>
          <w:sz w:val="22"/>
          <w:szCs w:val="22"/>
        </w:rPr>
        <w:t xml:space="preserve">Jessica calls tool functions that invoke other edge functions over HTTP. There is no queue, no at-least-once delivery guarantee, and no visibility into dropped invocations beyond the tool_calls table. If Supabase's edge runtime drops an invocation mid-flight, Jessica can log a 'success' while the downstream function never ran. At Sentinel limits this is acceptable. At Active or Aggressive limits, a missed engine tick or signal approval during a fast market could be consequential.</w:t>
      </w:r>
    </w:p>
    <w:p>
      <w:pPr>
        <w:spacing w:after="80"/>
      </w:pPr>
    </w:p>
    <w:p>
      <w:pPr>
        <w:pStyle w:val="Heading3"/>
        <w:spacing w:after="100" w:before="240"/>
      </w:pPr>
      <w:r>
        <w:rPr>
          <w:rFonts w:ascii="Arial" w:cs="Arial" w:eastAsia="Arial" w:hAnsi="Arial"/>
          <w:b/>
          <w:bCs/>
          <w:color w:val="1A1A2E"/>
          <w:sz w:val="24"/>
          <w:szCs w:val="24"/>
        </w:rPr>
        <w:t xml:space="preserve">B. Cold-start context cascade</w:t>
      </w:r>
    </w:p>
    <w:p>
      <w:pPr>
        <w:spacing w:after="160"/>
      </w:pPr>
      <w:r>
        <w:rPr>
          <w:rFonts w:ascii="Arial" w:cs="Arial" w:eastAsia="Arial" w:hAnsi="Arial"/>
          <w:b w:val="false"/>
          <w:bCs w:val="false"/>
          <w:color w:val="1A1A2E"/>
          <w:sz w:val="22"/>
          <w:szCs w:val="22"/>
        </w:rPr>
        <w:t xml:space="preserve">Jessica runs every minute. On a cold-start, buildJessicaContext() fetches all context tables from scratch — up to 20 experiments + 10 strategies + 20 trades + 5 signals + full market intelligence on every invocation. On Supabase free/pro tiers, cold starts are common (isolate evicted after ~30s idle). A slow day with many experiments and a large trade history can eat 2-4 seconds of the 60-second tick window.</w:t>
      </w:r>
    </w:p>
    <w:p>
      <w:pPr>
        <w:spacing w:after="80"/>
      </w:pPr>
    </w:p>
    <w:p>
      <w:pPr>
        <w:pStyle w:val="Heading3"/>
        <w:spacing w:after="100" w:before="240"/>
      </w:pPr>
      <w:r>
        <w:rPr>
          <w:rFonts w:ascii="Arial" w:cs="Arial" w:eastAsia="Arial" w:hAnsi="Arial"/>
          <w:b/>
          <w:bCs/>
          <w:color w:val="1A1A2E"/>
          <w:sz w:val="24"/>
          <w:szCs w:val="24"/>
        </w:rPr>
        <w:t xml:space="preserve">C. No immutable audit trail for operator actions</w:t>
      </w:r>
    </w:p>
    <w:p>
      <w:pPr>
        <w:spacing w:after="160"/>
      </w:pPr>
      <w:r>
        <w:rPr>
          <w:rFonts w:ascii="Arial" w:cs="Arial" w:eastAsia="Arial" w:hAnsi="Arial"/>
          <w:b w:val="false"/>
          <w:bCs w:val="false"/>
          <w:color w:val="1A1A2E"/>
          <w:sz w:val="22"/>
          <w:szCs w:val="22"/>
        </w:rPr>
        <w:t xml:space="preserve">State changes (kill-switch toggled, autonomy changed, live mode enabled, bot paused) are recorded as column-level updates to system_state with no history. For a live-money system, operator actions need an append-only event log to reconstruct 'what happened and when' after an incident.</w:t>
      </w:r>
    </w:p>
    <w:p>
      <w:pPr>
        <w:spacing w:after="80"/>
      </w:pPr>
    </w:p>
    <w:p>
      <w:pPr>
        <w:pStyle w:val="Heading2"/>
        <w:spacing w:after="160" w:before="360"/>
      </w:pPr>
      <w:r>
        <w:rPr>
          <w:rFonts w:ascii="Arial" w:cs="Arial" w:eastAsia="Arial" w:hAnsi="Arial"/>
          <w:b/>
          <w:bCs/>
          <w:color w:val="2B6CB0"/>
          <w:sz w:val="28"/>
          <w:szCs w:val="28"/>
        </w:rPr>
        <w:t xml:space="preserve">1.3 Recommendations</w:t>
      </w:r>
    </w:p>
    <w:p>
      <w:pPr>
        <w:pStyle w:val="ListParagraph"/>
        <w:numPr>
          <w:ilvl w:val="0"/>
          <w:numId w:val="3"/>
        </w:numPr>
        <w:spacing w:after="100"/>
      </w:pPr>
      <w:r>
        <w:rPr>
          <w:rFonts w:ascii="Arial" w:cs="Arial" w:eastAsia="Arial" w:hAnsi="Arial"/>
          <w:color w:val="1A1A2E"/>
          <w:sz w:val="22"/>
          <w:szCs w:val="22"/>
        </w:rPr>
        <w:t xml:space="preserve">Add a system_events append-only table: id, user_id, event_type, actor, payload jsonb, created_at. Every kill-switch toggle, autonomy change, live mode toggle, and bot pause/resume should INSERT a row. Never allow UPDATE or DELETE on this table.</w:t>
      </w:r>
    </w:p>
    <w:p>
      <w:pPr>
        <w:pStyle w:val="ListParagraph"/>
        <w:numPr>
          <w:ilvl w:val="0"/>
          <w:numId w:val="3"/>
        </w:numPr>
        <w:spacing w:after="100"/>
      </w:pPr>
      <w:r>
        <w:rPr>
          <w:rFonts w:ascii="Arial" w:cs="Arial" w:eastAsia="Arial" w:hAnsi="Arial"/>
          <w:color w:val="1A1A2E"/>
          <w:sz w:val="22"/>
          <w:szCs w:val="22"/>
        </w:rPr>
        <w:t xml:space="preserve">Add last_tick_started_at and last_tick_succeeded_at to system_state so Jessica can detect cold-start cascade and skip the full decision tree on the first post-cold-start tick.</w:t>
      </w:r>
    </w:p>
    <w:p>
      <w:pPr>
        <w:pStyle w:val="ListParagraph"/>
        <w:numPr>
          <w:ilvl w:val="0"/>
          <w:numId w:val="3"/>
        </w:numPr>
        <w:spacing w:after="100"/>
      </w:pPr>
      <w:r>
        <w:rPr>
          <w:rFonts w:ascii="Arial" w:cs="Arial" w:eastAsia="Arial" w:hAnsi="Arial"/>
          <w:color w:val="1A1A2E"/>
          <w:sz w:val="22"/>
          <w:szCs w:val="22"/>
        </w:rPr>
        <w:t xml:space="preserve">Add a dead-letter table for failed tool calls: when any Jessica tool invocation fails, write the failed call with its error so operators can see unexecuted decisions.</w:t>
      </w:r>
    </w:p>
    <w:p>
      <w:pPr>
        <w:pStyle w:val="ListParagraph"/>
        <w:numPr>
          <w:ilvl w:val="0"/>
          <w:numId w:val="3"/>
        </w:numPr>
        <w:spacing w:after="100"/>
      </w:pPr>
      <w:r>
        <w:rPr>
          <w:rFonts w:ascii="Arial" w:cs="Arial" w:eastAsia="Arial" w:hAnsi="Arial"/>
          <w:color w:val="1A1A2E"/>
          <w:sz w:val="22"/>
          <w:szCs w:val="22"/>
        </w:rPr>
        <w:t xml:space="preserve">Formalize a message-bus pattern for the desk tools using Postgres NOTIFY/LISTEN or a lightweight job table, adding at-least-once delivery semantics before scaling beyond Sentinel.</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2 — Security Engineering</w:t>
      </w:r>
    </w:p>
    <w:p>
      <w:pPr>
        <w:spacing w:after="160"/>
      </w:pPr>
      <w:r>
        <w:rPr>
          <w:rFonts w:ascii="Arial" w:cs="Arial" w:eastAsia="Arial" w:hAnsi="Arial"/>
          <w:b w:val="false"/>
          <w:bCs w:val="false"/>
          <w:color w:val="1A1A2E"/>
          <w:sz w:val="22"/>
          <w:szCs w:val="22"/>
        </w:rPr>
        <w:t xml:space="preserve">The security posture has improved meaningfully. Vault-based credential storage for Coinbase API keys is the correct approach. The privilege-tightening migration (P1-D) applying REVOKE to both anon and authenticated on the cron token RPCs is exactly the kind of hygiene that prevents privilege escalation.</w:t>
      </w:r>
    </w:p>
    <w:p>
      <w:pPr>
        <w:pStyle w:val="Heading2"/>
        <w:spacing w:after="160" w:before="360"/>
      </w:pPr>
      <w:r>
        <w:rPr>
          <w:rFonts w:ascii="Arial" w:cs="Arial" w:eastAsia="Arial" w:hAnsi="Arial"/>
          <w:b/>
          <w:bCs/>
          <w:color w:val="2B6CB0"/>
          <w:sz w:val="28"/>
          <w:szCs w:val="28"/>
        </w:rPr>
        <w:t xml:space="preserve">2.1 Credential &amp; Secret Management</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Vault Pattern</w:t>
            </w:r>
          </w:p>
          <w:p>
            <w:pPr>
              <w:spacing w:after="0"/>
            </w:pPr>
            <w:r>
              <w:rPr>
                <w:rFonts w:ascii="Arial" w:cs="Arial" w:eastAsia="Arial" w:hAnsi="Arial"/>
                <w:color w:val="1A1A2E"/>
                <w:sz w:val="21"/>
                <w:szCs w:val="21"/>
              </w:rPr>
              <w:t xml:space="preserve">Coinbase API private key stored in pgsodium Vault, retrieved by a SECURITY DEFINER function granted only to service_role. The key never appears in code or environment variables. The migration documents the setup procedure and key rotation steps clearly.</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CORS Wildcard on broker-execute</w:t>
            </w:r>
          </w:p>
          <w:p>
            <w:pPr>
              <w:spacing w:after="0"/>
            </w:pPr>
            <w:r>
              <w:rPr>
                <w:rFonts w:ascii="Arial" w:cs="Arial" w:eastAsia="Arial" w:hAnsi="Arial"/>
                <w:color w:val="1A1A2E"/>
                <w:sz w:val="21"/>
                <w:szCs w:val="21"/>
              </w:rPr>
              <w:t xml:space="preserve">broker-execute sets Access-Control-Allow-Origin: * and handles OPTIONS preflight. This function is never called from a browser — it is internal service-to-service only. The CORS wildcard combined with the service-role key check means any browser can OPTIONS-probe the endpoint, aiding endpoint discovery. More critically, any logging middleware that captures request headers will log the Authorization header containing the service-role key. Recommend removing CORS headers from broker-execute entirely.</w:t>
            </w:r>
          </w:p>
        </w:tc>
      </w:tr>
    </w:tbl>
    <w:p>
      <w:pPr>
        <w:spacing w:after="80"/>
      </w:pPr>
    </w:p>
    <w:p>
      <w:pPr>
        <w:pStyle w:val="Heading2"/>
        <w:spacing w:after="160" w:before="360"/>
      </w:pPr>
      <w:r>
        <w:rPr>
          <w:rFonts w:ascii="Arial" w:cs="Arial" w:eastAsia="Arial" w:hAnsi="Arial"/>
          <w:b/>
          <w:bCs/>
          <w:color w:val="2B6CB0"/>
          <w:sz w:val="28"/>
          <w:szCs w:val="28"/>
        </w:rPr>
        <w:t xml:space="preserve">2.2 Authentication &amp; Authorization</w:t>
      </w:r>
    </w:p>
    <w:p>
      <w:pPr>
        <w:pStyle w:val="ListParagraph"/>
        <w:numPr>
          <w:ilvl w:val="0"/>
          <w:numId w:val="2"/>
        </w:numPr>
        <w:spacing w:after="100"/>
      </w:pPr>
      <w:r>
        <w:rPr>
          <w:rFonts w:ascii="Arial" w:cs="Arial" w:eastAsia="Arial" w:hAnsi="Arial"/>
          <w:b w:val="false"/>
          <w:bCs w:val="false"/>
          <w:color w:val="1A1A2E"/>
          <w:sz w:val="22"/>
          <w:szCs w:val="22"/>
        </w:rPr>
        <w:t xml:space="preserve">RLS policies (user_id = auth.uid()) are correctly applied across all core tables. The service-role admin client bypasses RLS intentionally for pg_cron paths — this is correct.</w:t>
      </w:r>
    </w:p>
    <w:p>
      <w:pPr>
        <w:pStyle w:val="ListParagraph"/>
        <w:numPr>
          <w:ilvl w:val="0"/>
          <w:numId w:val="2"/>
        </w:numPr>
        <w:spacing w:after="100"/>
      </w:pPr>
      <w:r>
        <w:rPr>
          <w:rFonts w:ascii="Arial" w:cs="Arial" w:eastAsia="Arial" w:hAnsi="Arial"/>
          <w:b w:val="false"/>
          <w:bCs w:val="false"/>
          <w:color w:val="1A1A2E"/>
          <w:sz w:val="22"/>
          <w:szCs w:val="22"/>
        </w:rPr>
        <w:t xml:space="preserve">The acknowledge_live_money RPC uses SECURITY DEFINER reading auth.uid() server-side, preventing cross-user signing. Correct.</w:t>
      </w:r>
    </w:p>
    <w:p>
      <w:pPr>
        <w:pStyle w:val="ListParagraph"/>
        <w:numPr>
          <w:ilvl w:val="0"/>
          <w:numId w:val="2"/>
        </w:numPr>
        <w:spacing w:after="100"/>
      </w:pPr>
      <w:r>
        <w:rPr>
          <w:rFonts w:ascii="Arial" w:cs="Arial" w:eastAsia="Arial" w:hAnsi="Arial"/>
          <w:b w:val="false"/>
          <w:bCs w:val="false"/>
          <w:color w:val="1A1A2E"/>
          <w:sz w:val="22"/>
          <w:szCs w:val="22"/>
        </w:rPr>
        <w:t xml:space="preserve">The Katrina milestone JWT fix (commits f808daa, baabb32) correctly replaced the internal-secret auth path for user-scoped runs with proper JWT authentication.</w:t>
      </w:r>
    </w:p>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INTERNAL_FUNCTION_SECRET Pattern</w:t>
            </w:r>
          </w:p>
          <w:p>
            <w:pPr>
              <w:spacing w:after="0"/>
            </w:pPr>
            <w:r>
              <w:rPr>
                <w:rFonts w:ascii="Arial" w:cs="Arial" w:eastAsia="Arial" w:hAnsi="Arial"/>
                <w:color w:val="1A1A2E"/>
                <w:sz w:val="21"/>
                <w:szCs w:val="21"/>
              </w:rPr>
              <w:t xml:space="preserve">Some edge functions accept INTERNAL_FUNCTION_SECRET as an alternative auth path. This secret must be manually provisioned and rotated. There is no rotation automation, no expiry, and no audit trail distinguishing which calls used this path vs. user JWT. If the secret leaks (log line, env dump), all internal function gates open.</w:t>
            </w:r>
          </w:p>
        </w:tc>
      </w:tr>
    </w:tbl>
    <w:p>
      <w:pPr>
        <w:spacing w:after="80"/>
      </w:pPr>
    </w:p>
    <w:p>
      <w:pPr>
        <w:pStyle w:val="Heading2"/>
        <w:spacing w:after="160" w:before="360"/>
      </w:pPr>
      <w:r>
        <w:rPr>
          <w:rFonts w:ascii="Arial" w:cs="Arial" w:eastAsia="Arial" w:hAnsi="Arial"/>
          <w:b/>
          <w:bCs/>
          <w:color w:val="2B6CB0"/>
          <w:sz w:val="28"/>
          <w:szCs w:val="28"/>
        </w:rPr>
        <w:t xml:space="preserve">2.3 Input Validation</w:t>
      </w:r>
    </w:p>
    <w:p>
      <w:pPr>
        <w:pStyle w:val="ListParagraph"/>
        <w:numPr>
          <w:ilvl w:val="0"/>
          <w:numId w:val="2"/>
        </w:numPr>
        <w:spacing w:after="100"/>
      </w:pPr>
      <w:r>
        <w:rPr>
          <w:rFonts w:ascii="Arial" w:cs="Arial" w:eastAsia="Arial" w:hAnsi="Arial"/>
          <w:b w:val="false"/>
          <w:bCs w:val="false"/>
          <w:color w:val="1A1A2E"/>
          <w:sz w:val="22"/>
          <w:szCs w:val="22"/>
        </w:rPr>
        <w:t xml:space="preserve">validate_market_intelligence_momentum() and validate_direction_basis() DB triggers enforce enum values at the Postgres layer — correct defense-in-depth on top of application validation.</w:t>
      </w:r>
    </w:p>
    <w:p>
      <w:pPr>
        <w:pStyle w:val="ListParagraph"/>
        <w:numPr>
          <w:ilvl w:val="0"/>
          <w:numId w:val="2"/>
        </w:numPr>
        <w:spacing w:after="100"/>
      </w:pPr>
      <w:r>
        <w:rPr>
          <w:rFonts w:ascii="Arial" w:cs="Arial" w:eastAsia="Arial" w:hAnsi="Arial"/>
          <w:b w:val="false"/>
          <w:bCs w:val="false"/>
          <w:color w:val="1A1A2E"/>
          <w:sz w:val="22"/>
          <w:szCs w:val="22"/>
        </w:rPr>
        <w:t xml:space="preserve">FSM CHECK constraints on lifecycle_phase columns refuse invalid phase strings at the DB layer regardless of call path.</w:t>
      </w:r>
    </w:p>
    <w:p>
      <w:pPr>
        <w:spacing w:after="80"/>
      </w:pP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MEDIUM — Prompt Injection Surface (Unmitigated)</w:t>
            </w:r>
          </w:p>
          <w:p>
            <w:pPr>
              <w:spacing w:after="0"/>
            </w:pPr>
            <w:r>
              <w:rPr>
                <w:rFonts w:ascii="Arial" w:cs="Arial" w:eastAsia="Arial" w:hAnsi="Arial"/>
                <w:color w:val="1A1A2E"/>
                <w:sz w:val="21"/>
                <w:szCs w:val="21"/>
              </w:rPr>
              <w:t xml:space="preserve">Harvey and Jessica include user-controlled content in LLM contexts: Harvey echoes operator chat messages; Jessica includes journal entries, experiment notes, and prior AI reasoning strings (which came from earlier LLM calls). An attacker who can write to any of these fields could attempt to manipulate autonomous decisions. Current single-operator use makes this low-likelihood, but the surface is unmitigated. Document as known risk and add input sanitization before multi-user use.</w:t>
            </w:r>
          </w:p>
        </w:tc>
      </w:tr>
    </w:tbl>
    <w:p>
      <w:pPr>
        <w:spacing w:after="80"/>
      </w:pPr>
    </w:p>
    <w:p>
      <w:pPr>
        <w:pStyle w:val="Heading2"/>
        <w:spacing w:after="160" w:before="360"/>
      </w:pPr>
      <w:r>
        <w:rPr>
          <w:rFonts w:ascii="Arial" w:cs="Arial" w:eastAsia="Arial" w:hAnsi="Arial"/>
          <w:b/>
          <w:bCs/>
          <w:color w:val="2B6CB0"/>
          <w:sz w:val="28"/>
          <w:szCs w:val="28"/>
        </w:rPr>
        <w:t xml:space="preserve">2.4 Recommendations</w:t>
      </w:r>
    </w:p>
    <w:p>
      <w:pPr>
        <w:pStyle w:val="ListParagraph"/>
        <w:numPr>
          <w:ilvl w:val="0"/>
          <w:numId w:val="3"/>
        </w:numPr>
        <w:spacing w:after="100"/>
      </w:pPr>
      <w:r>
        <w:rPr>
          <w:rFonts w:ascii="Arial" w:cs="Arial" w:eastAsia="Arial" w:hAnsi="Arial"/>
          <w:color w:val="1A1A2E"/>
          <w:sz w:val="22"/>
          <w:szCs w:val="22"/>
        </w:rPr>
        <w:t xml:space="preserve">Remove CORS headers from broker-execute. Add a comment block: 'INTERNAL ONLY — never called from browser. No CORS required.'</w:t>
      </w:r>
    </w:p>
    <w:p>
      <w:pPr>
        <w:pStyle w:val="ListParagraph"/>
        <w:numPr>
          <w:ilvl w:val="0"/>
          <w:numId w:val="3"/>
        </w:numPr>
        <w:spacing w:after="100"/>
      </w:pPr>
      <w:r>
        <w:rPr>
          <w:rFonts w:ascii="Arial" w:cs="Arial" w:eastAsia="Arial" w:hAnsi="Arial"/>
          <w:color w:val="1A1A2E"/>
          <w:sz w:val="22"/>
          <w:szCs w:val="22"/>
        </w:rPr>
        <w:t xml:space="preserve">Add a request logging allowlist to all edge functions: explicitly enumerate safe headers to log, defaulting to OMIT the Authorization header.</w:t>
      </w:r>
    </w:p>
    <w:p>
      <w:pPr>
        <w:pStyle w:val="ListParagraph"/>
        <w:numPr>
          <w:ilvl w:val="0"/>
          <w:numId w:val="3"/>
        </w:numPr>
        <w:spacing w:after="100"/>
      </w:pPr>
      <w:r>
        <w:rPr>
          <w:rFonts w:ascii="Arial" w:cs="Arial" w:eastAsia="Arial" w:hAnsi="Arial"/>
          <w:color w:val="1A1A2E"/>
          <w:sz w:val="22"/>
          <w:szCs w:val="22"/>
        </w:rPr>
        <w:t xml:space="preserve">Document the INTERNAL_FUNCTION_SECRET rotation procedure with a last-rotated date annotation and an annual rotation reminder.</w:t>
      </w:r>
    </w:p>
    <w:p>
      <w:pPr>
        <w:pStyle w:val="ListParagraph"/>
        <w:numPr>
          <w:ilvl w:val="0"/>
          <w:numId w:val="3"/>
        </w:numPr>
        <w:spacing w:after="100"/>
      </w:pPr>
      <w:r>
        <w:rPr>
          <w:rFonts w:ascii="Arial" w:cs="Arial" w:eastAsia="Arial" w:hAnsi="Arial"/>
          <w:color w:val="1A1A2E"/>
          <w:sz w:val="22"/>
          <w:szCs w:val="22"/>
        </w:rPr>
        <w:t xml:space="preserve">Add HTML/control-character stripping to user-controlled fields (journal entries, experiment notes, chat messages) before including them in LLM context payloads.</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3 — Risk Engineering &amp; Capital Preservation</w:t>
      </w:r>
    </w:p>
    <w:p>
      <w:pPr>
        <w:spacing w:after="160"/>
      </w:pPr>
      <w:r>
        <w:rPr>
          <w:rFonts w:ascii="Arial" w:cs="Arial" w:eastAsia="Arial" w:hAnsi="Arial"/>
          <w:b w:val="false"/>
          <w:bCs w:val="false"/>
          <w:color w:val="1A1A2E"/>
          <w:sz w:val="22"/>
          <w:szCs w:val="22"/>
        </w:rPr>
        <w:t xml:space="preserve">The risk architecture is layered and thoughtful. Two critical gaps in the execution layer must be resolved before extending beyond the current Sentinel limits.</w:t>
      </w:r>
    </w:p>
    <w:p>
      <w:pPr>
        <w:pStyle w:val="Heading2"/>
        <w:spacing w:after="160" w:before="360"/>
      </w:pPr>
      <w:r>
        <w:rPr>
          <w:rFonts w:ascii="Arial" w:cs="Arial" w:eastAsia="Arial" w:hAnsi="Arial"/>
          <w:b/>
          <w:bCs/>
          <w:color w:val="2B6CB0"/>
          <w:sz w:val="28"/>
          <w:szCs w:val="28"/>
        </w:rPr>
        <w:t xml:space="preserve">3.1 Ghost Trade Problem (Critical)</w:t>
      </w: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CRITICAL — Ghost Trade Window</w:t>
            </w:r>
          </w:p>
          <w:p>
            <w:pPr>
              <w:spacing w:after="0"/>
            </w:pPr>
            <w:r>
              <w:rPr>
                <w:rFonts w:ascii="Arial" w:cs="Arial" w:eastAsia="Arial" w:hAnsi="Arial"/>
                <w:color w:val="1A1A2E"/>
                <w:sz w:val="21"/>
                <w:szCs w:val="21"/>
              </w:rPr>
              <w:t xml:space="preserve">In signal-engine's auto-execute path, the sequence is: (1) clampSize, (2) await placeMarketBuy(), (3) const tradeId = uuid(), (4) admin.from('trades').insert(). If step 4 fails after step 2 succeeds, a real Coinbase position is held with no DB row. The kill-switch, daily loss cap, balance floor, and mark-to-market engine all read from the DB. They are completely blind to this orphaned position.</w:t>
            </w:r>
          </w:p>
        </w:tc>
      </w:tr>
    </w:tbl>
    <w:p>
      <w:pPr>
        <w:spacing w:after="80"/>
      </w:pPr>
    </w:p>
    <w:p>
      <w:pPr>
        <w:spacing w:after="160"/>
      </w:pPr>
      <w:r>
        <w:rPr>
          <w:rFonts w:ascii="Arial" w:cs="Arial" w:eastAsia="Arial" w:hAnsi="Arial"/>
          <w:b w:val="false"/>
          <w:bCs w:val="false"/>
          <w:color w:val="1A1A2E"/>
          <w:sz w:val="22"/>
          <w:szCs w:val="22"/>
        </w:rPr>
        <w:t xml:space="preserve">The fix is a two-phase write pattern:</w:t>
      </w:r>
    </w:p>
    <w:p>
      <w:pPr>
        <w:pStyle w:val="ListParagraph"/>
        <w:numPr>
          <w:ilvl w:val="0"/>
          <w:numId w:val="3"/>
        </w:numPr>
        <w:spacing w:after="100"/>
      </w:pPr>
      <w:r>
        <w:rPr>
          <w:rFonts w:ascii="Arial" w:cs="Arial" w:eastAsia="Arial" w:hAnsi="Arial"/>
          <w:color w:val="1A1A2E"/>
          <w:sz w:val="22"/>
          <w:szCs w:val="22"/>
        </w:rPr>
        <w:t xml:space="preserve">Pre-insert a 'pending' trade row with the clientOrderId BEFORE calling placeMarketBuy. The row has status='pending', no fill data yet, and broker_order_id = clientOrderId.</w:t>
      </w:r>
    </w:p>
    <w:p>
      <w:pPr>
        <w:pStyle w:val="ListParagraph"/>
        <w:numPr>
          <w:ilvl w:val="0"/>
          <w:numId w:val="3"/>
        </w:numPr>
        <w:spacing w:after="100"/>
      </w:pPr>
      <w:r>
        <w:rPr>
          <w:rFonts w:ascii="Arial" w:cs="Arial" w:eastAsia="Arial" w:hAnsi="Arial"/>
          <w:color w:val="1A1A2E"/>
          <w:sz w:val="22"/>
          <w:szCs w:val="22"/>
        </w:rPr>
        <w:t xml:space="preserve">Call placeMarketBuy with the pre-generated clientOrderId as the idempotency key.</w:t>
      </w:r>
    </w:p>
    <w:p>
      <w:pPr>
        <w:pStyle w:val="ListParagraph"/>
        <w:numPr>
          <w:ilvl w:val="0"/>
          <w:numId w:val="3"/>
        </w:numPr>
        <w:spacing w:after="100"/>
      </w:pPr>
      <w:r>
        <w:rPr>
          <w:rFonts w:ascii="Arial" w:cs="Arial" w:eastAsia="Arial" w:hAnsi="Arial"/>
          <w:color w:val="1A1A2E"/>
          <w:sz w:val="22"/>
          <w:szCs w:val="22"/>
        </w:rPr>
        <w:t xml:space="preserve">On success, UPDATE the row to status='open' with fill price, fill size, and actual broker_order_id from the response. On failure, UPDATE to status='broker_failed' with the error string.</w:t>
      </w:r>
    </w:p>
    <w:p>
      <w:pPr>
        <w:pStyle w:val="ListParagraph"/>
        <w:numPr>
          <w:ilvl w:val="0"/>
          <w:numId w:val="3"/>
        </w:numPr>
        <w:spacing w:after="100"/>
      </w:pPr>
      <w:r>
        <w:rPr>
          <w:rFonts w:ascii="Arial" w:cs="Arial" w:eastAsia="Arial" w:hAnsi="Arial"/>
          <w:color w:val="1A1A2E"/>
          <w:sz w:val="22"/>
          <w:szCs w:val="22"/>
        </w:rPr>
        <w:t xml:space="preserve">The mark-to-market loop treats 'broker_failed' rows as requiring operator review and alerts accordingly.</w:t>
      </w:r>
    </w:p>
    <w:p>
      <w:pPr>
        <w:spacing w:after="80"/>
      </w:pPr>
    </w:p>
    <w:p>
      <w:pPr>
        <w:pStyle w:val="Heading2"/>
        <w:spacing w:after="160" w:before="360"/>
      </w:pPr>
      <w:r>
        <w:rPr>
          <w:rFonts w:ascii="Arial" w:cs="Arial" w:eastAsia="Arial" w:hAnsi="Arial"/>
          <w:b/>
          <w:bCs/>
          <w:color w:val="2B6CB0"/>
          <w:sz w:val="28"/>
          <w:szCs w:val="28"/>
        </w:rPr>
        <w:t xml:space="preserve">3.2 Idempotency on Auto-Execute (Critical)</w:t>
      </w: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CRITICAL — Double-Fire Risk</w:t>
            </w:r>
          </w:p>
          <w:p>
            <w:pPr>
              <w:spacing w:after="0"/>
            </w:pPr>
            <w:r>
              <w:rPr>
                <w:rFonts w:ascii="Arial" w:cs="Arial" w:eastAsia="Arial" w:hAnsi="Arial"/>
                <w:color w:val="1A1A2E"/>
                <w:sz w:val="21"/>
                <w:szCs w:val="21"/>
              </w:rPr>
              <w:t xml:space="preserve">clientOrderId = crypto.randomUUID() is called inline each time the auto-execute block runs. If the Deno isolate crashes mid-execution and Supabase retries, a fresh UUID is generated on the retry, making the second request non-idempotent to Coinbase. The fix: generate clientOrderId before calling placeMarketBuy and persist it in the pre-insert pending row from 3.1. On retry, the engine queries for any 'pending' row on the same symbol created within the last 2 minutes and reuses its clientOrderId.</w:t>
            </w:r>
          </w:p>
        </w:tc>
      </w:tr>
    </w:tbl>
    <w:p>
      <w:pPr>
        <w:spacing w:after="80"/>
      </w:pPr>
    </w:p>
    <w:p>
      <w:pPr>
        <w:pStyle w:val="Heading2"/>
        <w:spacing w:after="160" w:before="360"/>
      </w:pPr>
      <w:r>
        <w:rPr>
          <w:rFonts w:ascii="Arial" w:cs="Arial" w:eastAsia="Arial" w:hAnsi="Arial"/>
          <w:b/>
          <w:bCs/>
          <w:color w:val="2B6CB0"/>
          <w:sz w:val="28"/>
          <w:szCs w:val="28"/>
        </w:rPr>
        <w:t xml:space="preserve">3.3 Daily Loss Cap Mechanics</w:t>
      </w:r>
    </w:p>
    <w:p>
      <w:pPr>
        <w:spacing w:after="160"/>
      </w:pPr>
      <w:r>
        <w:rPr>
          <w:rFonts w:ascii="Arial" w:cs="Arial" w:eastAsia="Arial" w:hAnsi="Arial"/>
          <w:b w:val="false"/>
          <w:bCs w:val="false"/>
          <w:color w:val="1A1A2E"/>
          <w:sz w:val="22"/>
          <w:szCs w:val="22"/>
        </w:rPr>
        <w:t xml:space="preserve">The daily loss cap checks dailyRealizedPnlUsd — only closed trades. This is correct for the gate, but a gap exists: a large unrealized loss on an open position is not counted until the position closes. At current Sentinel limits ($1 max order, $2 daily cap) this is not material — a $1 BTC position cannot have an unrealized loss larger than $1. At Active or Aggressive profiles this matters.</w:t>
      </w:r>
    </w:p>
    <w:tbl>
      <w:tblPr>
        <w:tblW w:type="dxa" w:w="9360"/>
        <w:tblBorders>
          <w:top w:val="single" w:color="1A56A0"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A0" w:sz="12"/>
              <w:left w:val="none" w:color="FFFFFF" w:sz="0"/>
              <w:bottom w:val="none" w:color="FFFFFF" w:sz="0"/>
              <w:right w:val="none" w:color="FFFFFF" w:sz="0"/>
            </w:tcBorders>
            <w:shd w:fill="D6E8F7" w:val="clear"/>
            <w:tcMar>
              <w:top w:type="dxa" w:w="140"/>
              <w:left w:type="dxa" w:w="200"/>
              <w:bottom w:type="dxa" w:w="140"/>
              <w:right w:type="dxa" w:w="200"/>
            </w:tcMar>
          </w:tcPr>
          <w:p>
            <w:pPr>
              <w:spacing w:after="50"/>
            </w:pPr>
            <w:r>
              <w:rPr>
                <w:rFonts w:ascii="Arial" w:cs="Arial" w:eastAsia="Arial" w:hAnsi="Arial"/>
                <w:b/>
                <w:bCs/>
                <w:color w:val="0F2D4A"/>
                <w:sz w:val="20"/>
                <w:szCs w:val="20"/>
              </w:rPr>
              <w:t xml:space="preserve">Recommendation</w:t>
            </w:r>
          </w:p>
          <w:p>
            <w:pPr>
              <w:spacing w:after="0"/>
            </w:pPr>
            <w:r>
              <w:rPr>
                <w:rFonts w:ascii="Arial" w:cs="Arial" w:eastAsia="Arial" w:hAnsi="Arial"/>
                <w:color w:val="1A1A2E"/>
                <w:sz w:val="21"/>
                <w:szCs w:val="21"/>
              </w:rPr>
              <w:t xml:space="preserve">Add an unrealized_drawdown_guard to evaluateRiskGates that blocks new entries when any open position's unrealized loss exceeds 80% of the daily loss cap. This is especially important at Active/Aggressive profile limits.</w:t>
            </w:r>
          </w:p>
        </w:tc>
      </w:tr>
    </w:tbl>
    <w:p>
      <w:pPr>
        <w:spacing w:after="80"/>
      </w:pPr>
    </w:p>
    <w:p>
      <w:pPr>
        <w:pStyle w:val="Heading2"/>
        <w:spacing w:after="160" w:before="360"/>
      </w:pPr>
      <w:r>
        <w:rPr>
          <w:rFonts w:ascii="Arial" w:cs="Arial" w:eastAsia="Arial" w:hAnsi="Arial"/>
          <w:b/>
          <w:bCs/>
          <w:color w:val="2B6CB0"/>
          <w:sz w:val="28"/>
          <w:szCs w:val="28"/>
        </w:rPr>
        <w:t xml:space="preserve">3.4 Anti-Tilt Mechanics</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Anti-Tilt Implemented Correctly</w:t>
            </w:r>
          </w:p>
          <w:p>
            <w:pPr>
              <w:spacing w:after="0"/>
            </w:pPr>
            <w:r>
              <w:rPr>
                <w:rFonts w:ascii="Arial" w:cs="Arial" w:eastAsia="Arial" w:hAnsi="Arial"/>
                <w:color w:val="1A1A2E"/>
                <w:sz w:val="21"/>
                <w:szCs w:val="21"/>
              </w:rPr>
              <w:t xml:space="preserve">The consecutive loss cascade (warn at 2, cooldown at 3, hard-stop at 4) is implemented at both application layer and DB layer (migration bumped default to 4 for existing users). The caution/cooldown/hard-stop pattern is a professional tilt-prevention mechanism.</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Event Mode Autonomous Pause Limit Exists Only in LLM Prompt</w:t>
            </w:r>
          </w:p>
          <w:p>
            <w:pPr>
              <w:spacing w:after="0"/>
            </w:pPr>
            <w:r>
              <w:rPr>
                <w:rFonts w:ascii="Arial" w:cs="Arial" w:eastAsia="Arial" w:hAnsi="Arial"/>
                <w:color w:val="1A1A2E"/>
                <w:sz w:val="21"/>
                <w:szCs w:val="21"/>
              </w:rPr>
              <w:t xml:space="preserve">Jessica's system prompt says 'Never pause for more than 120 minutes autonomously.' This limit exists only as an LLM instruction, not in application code or DB constraints. If the model ignores this instruction, nothing enforces the limit.</w:t>
            </w:r>
          </w:p>
        </w:tc>
      </w:tr>
    </w:tbl>
    <w:p>
      <w:pPr>
        <w:spacing w:after="80"/>
      </w:pPr>
    </w:p>
    <w:p>
      <w:pPr>
        <w:pStyle w:val="Heading2"/>
        <w:spacing w:after="160" w:before="360"/>
      </w:pPr>
      <w:r>
        <w:rPr>
          <w:rFonts w:ascii="Arial" w:cs="Arial" w:eastAsia="Arial" w:hAnsi="Arial"/>
          <w:b/>
          <w:bCs/>
          <w:color w:val="2B6CB0"/>
          <w:sz w:val="28"/>
          <w:szCs w:val="28"/>
        </w:rPr>
        <w:t xml:space="preserve">3.5 Balance Floor &amp; Equity</w:t>
      </w:r>
    </w:p>
    <w:p>
      <w:pPr>
        <w:pStyle w:val="ListParagraph"/>
        <w:numPr>
          <w:ilvl w:val="0"/>
          <w:numId w:val="2"/>
        </w:numPr>
        <w:spacing w:after="100"/>
      </w:pPr>
      <w:r>
        <w:rPr>
          <w:rFonts w:ascii="Arial" w:cs="Arial" w:eastAsia="Arial" w:hAnsi="Arial"/>
          <w:b w:val="false"/>
          <w:bCs w:val="false"/>
          <w:color w:val="1A1A2E"/>
          <w:sz w:val="22"/>
          <w:szCs w:val="22"/>
        </w:rPr>
        <w:t xml:space="preserve">The kill-switch floor is correctly computed from starting_equity × floor_pct — not from current equity. This prevents the floor from shrinking as equity shrinks. This is the correct formula.</w:t>
      </w:r>
    </w:p>
    <w:p>
      <w:pPr>
        <w:pStyle w:val="ListParagraph"/>
        <w:numPr>
          <w:ilvl w:val="0"/>
          <w:numId w:val="2"/>
        </w:numPr>
        <w:spacing w:after="100"/>
      </w:pPr>
      <w:r>
        <w:rPr>
          <w:rFonts w:ascii="Arial" w:cs="Arial" w:eastAsia="Arial" w:hAnsi="Arial"/>
          <w:b w:val="false"/>
          <w:bCs w:val="false"/>
          <w:color w:val="1A1A2E"/>
          <w:sz w:val="22"/>
          <w:szCs w:val="22"/>
        </w:rPr>
        <w:t xml:space="preserve">paper_account_balance defaults to $1,000 and does not update as paper trades open and close. Paper mode does not simulate account compounding or depletion — P&amp;L accumulates in the trades table but never feeds back into the balance used for sizing. Paper trading calibration is therefore limited.</w:t>
      </w:r>
    </w:p>
    <w:p>
      <w:pPr>
        <w:spacing w:after="80"/>
      </w:pPr>
    </w:p>
    <w:p>
      <w:pPr>
        <w:pStyle w:val="Heading2"/>
        <w:spacing w:after="160" w:before="360"/>
      </w:pPr>
      <w:r>
        <w:rPr>
          <w:rFonts w:ascii="Arial" w:cs="Arial" w:eastAsia="Arial" w:hAnsi="Arial"/>
          <w:b/>
          <w:bCs/>
          <w:color w:val="2B6CB0"/>
          <w:sz w:val="28"/>
          <w:szCs w:val="28"/>
        </w:rPr>
        <w:t xml:space="preserve">3.6 Recommendations</w:t>
      </w:r>
    </w:p>
    <w:p>
      <w:pPr>
        <w:pStyle w:val="ListParagraph"/>
        <w:numPr>
          <w:ilvl w:val="0"/>
          <w:numId w:val="3"/>
        </w:numPr>
        <w:spacing w:after="100"/>
      </w:pPr>
      <w:r>
        <w:rPr>
          <w:rFonts w:ascii="Arial" w:cs="Arial" w:eastAsia="Arial" w:hAnsi="Arial"/>
          <w:color w:val="1A1A2E"/>
          <w:sz w:val="22"/>
          <w:szCs w:val="22"/>
        </w:rPr>
        <w:t xml:space="preserve">Implement the two-phase pre-insert + fill-update pattern before enabling auto-execute above current test threshold ($0.25/order).</w:t>
      </w:r>
    </w:p>
    <w:p>
      <w:pPr>
        <w:pStyle w:val="ListParagraph"/>
        <w:numPr>
          <w:ilvl w:val="0"/>
          <w:numId w:val="3"/>
        </w:numPr>
        <w:spacing w:after="100"/>
      </w:pPr>
      <w:r>
        <w:rPr>
          <w:rFonts w:ascii="Arial" w:cs="Arial" w:eastAsia="Arial" w:hAnsi="Arial"/>
          <w:color w:val="1A1A2E"/>
          <w:sz w:val="22"/>
          <w:szCs w:val="22"/>
        </w:rPr>
        <w:t xml:space="preserve">Implement idempotency: generate and persist clientOrderId before calling broker; reuse on retry.</w:t>
      </w:r>
    </w:p>
    <w:p>
      <w:pPr>
        <w:pStyle w:val="ListParagraph"/>
        <w:numPr>
          <w:ilvl w:val="0"/>
          <w:numId w:val="3"/>
        </w:numPr>
        <w:spacing w:after="100"/>
      </w:pPr>
      <w:r>
        <w:rPr>
          <w:rFonts w:ascii="Arial" w:cs="Arial" w:eastAsia="Arial" w:hAnsi="Arial"/>
          <w:color w:val="1A1A2E"/>
          <w:sz w:val="22"/>
          <w:szCs w:val="22"/>
        </w:rPr>
        <w:t xml:space="preserve">Add a DB-level application check preventing Jessica from setting tradingPausedUntil more than 120 minutes in the future without an operator_approved flag.</w:t>
      </w:r>
    </w:p>
    <w:p>
      <w:pPr>
        <w:pStyle w:val="ListParagraph"/>
        <w:numPr>
          <w:ilvl w:val="0"/>
          <w:numId w:val="3"/>
        </w:numPr>
        <w:spacing w:after="100"/>
      </w:pPr>
      <w:r>
        <w:rPr>
          <w:rFonts w:ascii="Arial" w:cs="Arial" w:eastAsia="Arial" w:hAnsi="Arial"/>
          <w:color w:val="1A1A2E"/>
          <w:sz w:val="22"/>
          <w:szCs w:val="22"/>
        </w:rPr>
        <w:t xml:space="preserve">Update paper_account_balance when paper trades close to simulate compounding accurately.</w:t>
      </w:r>
    </w:p>
    <w:p>
      <w:pPr>
        <w:pStyle w:val="ListParagraph"/>
        <w:numPr>
          <w:ilvl w:val="0"/>
          <w:numId w:val="3"/>
        </w:numPr>
        <w:spacing w:after="100"/>
      </w:pPr>
      <w:r>
        <w:rPr>
          <w:rFonts w:ascii="Arial" w:cs="Arial" w:eastAsia="Arial" w:hAnsi="Arial"/>
          <w:color w:val="1A1A2E"/>
          <w:sz w:val="22"/>
          <w:szCs w:val="22"/>
        </w:rPr>
        <w:t xml:space="preserve">Add UNIQUE(broker_order_id) WHERE broker_order_id IS NOT NULL to the trades table once the pre-insert pattern is implemented.</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4 — Quantitative Finance &amp; Backtesting</w:t>
      </w:r>
    </w:p>
    <w:p>
      <w:pPr>
        <w:spacing w:after="160"/>
      </w:pPr>
      <w:r>
        <w:rPr>
          <w:rFonts w:ascii="Arial" w:cs="Arial" w:eastAsia="Arial" w:hAnsi="Arial"/>
          <w:b w:val="false"/>
          <w:bCs w:val="false"/>
          <w:color w:val="1A1A2E"/>
          <w:sz w:val="22"/>
          <w:szCs w:val="22"/>
        </w:rPr>
        <w:t xml:space="preserve">The backtesting infrastructure is technically detailed. The drawdown calculation was correctly fixed from 'percent of gross profit' to proper peak-to-trough on a compounded equity curve. The walk-forward harness is a sophisticated feature rarely seen in retail trading tools.</w:t>
      </w:r>
    </w:p>
    <w:p>
      <w:pPr>
        <w:pStyle w:val="Heading2"/>
        <w:spacing w:after="160" w:before="360"/>
      </w:pPr>
      <w:r>
        <w:rPr>
          <w:rFonts w:ascii="Arial" w:cs="Arial" w:eastAsia="Arial" w:hAnsi="Arial"/>
          <w:b/>
          <w:bCs/>
          <w:color w:val="2B6CB0"/>
          <w:sz w:val="28"/>
          <w:szCs w:val="28"/>
        </w:rPr>
        <w:t xml:space="preserve">4.1 Dual Backtest Engine Divergence</w:t>
      </w: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backtest.ts vs backtest-shared.ts</w:t>
            </w:r>
          </w:p>
          <w:p>
            <w:pPr>
              <w:spacing w:after="0"/>
            </w:pPr>
            <w:r>
              <w:rPr>
                <w:rFonts w:ascii="Arial" w:cs="Arial" w:eastAsia="Arial" w:hAnsi="Arial"/>
                <w:color w:val="1A1A2E"/>
                <w:sz w:val="21"/>
                <w:szCs w:val="21"/>
              </w:rPr>
              <w:t xml:space="preserve">backtest.ts (StrategyLab UI) applies two-sided fees (80 bps total) and slippage (10 bps total), producing net PnL in R. backtest-shared.ts (run-experiment, copilot accept/reject pipeline) does not apply fees or slippage — it produces gross PnL in R. An experiment showing +0.15R gross may be +0.07R net. At a win rate of 55%, this can flip a marginally positive strategy to break-even or negative. Experiments are being accepted/rejected on gross numbers while the operator evaluates them on net.</w:t>
            </w:r>
          </w:p>
        </w:tc>
      </w:tr>
    </w:tbl>
    <w:p>
      <w:pPr>
        <w:spacing w:after="80"/>
      </w:pPr>
    </w:p>
    <w:p>
      <w:pPr>
        <w:spacing w:after="160"/>
      </w:pPr>
      <w:r>
        <w:rPr>
          <w:rFonts w:ascii="Arial" w:cs="Arial" w:eastAsia="Arial" w:hAnsi="Arial"/>
          <w:b w:val="false"/>
          <w:bCs w:val="false"/>
          <w:color w:val="1A1A2E"/>
          <w:sz w:val="22"/>
          <w:szCs w:val="22"/>
        </w:rPr>
        <w:t xml:space="preserve">The SharedBacktestResult interface adds profitFactor, avgWin, and avgLoss that BacktestResult lacks — so the shared version is ahead on some dimensions. The correct fix is to add the fee/slippage model to runSharedBacktest, not to remove it from runBacktest.</w:t>
      </w:r>
    </w:p>
    <w:p>
      <w:pPr>
        <w:spacing w:after="80"/>
      </w:pPr>
    </w:p>
    <w:p>
      <w:pPr>
        <w:pStyle w:val="Heading2"/>
        <w:spacing w:after="160" w:before="360"/>
      </w:pPr>
      <w:r>
        <w:rPr>
          <w:rFonts w:ascii="Arial" w:cs="Arial" w:eastAsia="Arial" w:hAnsi="Arial"/>
          <w:b/>
          <w:bCs/>
          <w:color w:val="2B6CB0"/>
          <w:sz w:val="28"/>
          <w:szCs w:val="28"/>
        </w:rPr>
        <w:t xml:space="preserve">4.2 Sharpe Ratio Label</w:t>
      </w:r>
    </w:p>
    <w:p>
      <w:pPr>
        <w:spacing w:after="160"/>
      </w:pPr>
      <w:r>
        <w:rPr>
          <w:rFonts w:ascii="Arial" w:cs="Arial" w:eastAsia="Arial" w:hAnsi="Arial"/>
          <w:b w:val="false"/>
          <w:bCs w:val="false"/>
          <w:color w:val="1A1A2E"/>
          <w:sz w:val="22"/>
          <w:szCs w:val="22"/>
        </w:rPr>
        <w:t xml:space="preserve">Both engines compute: sharpe = (mean(pnlR) / stdev(pnlR)) * sqrt(N). This is a sample-size-weighted signal-to-noise ratio on per-trade R, not a standard annualized Sharpe. The metric grows with N regardless of whether the edge is persistent — 200 mediocre trades score higher than 30 excellent trades. The UI should label this 'R-Sharpe' or 'Trade Quality Score' to avoid comparison with industry Sharpe benchmarks (which are annualized and risk-free-rate adjusted).</w:t>
      </w:r>
    </w:p>
    <w:p>
      <w:pPr>
        <w:spacing w:after="80"/>
      </w:pPr>
    </w:p>
    <w:p>
      <w:pPr>
        <w:pStyle w:val="Heading2"/>
        <w:spacing w:after="160" w:before="360"/>
      </w:pPr>
      <w:r>
        <w:rPr>
          <w:rFonts w:ascii="Arial" w:cs="Arial" w:eastAsia="Arial" w:hAnsi="Arial"/>
          <w:b/>
          <w:bCs/>
          <w:color w:val="2B6CB0"/>
          <w:sz w:val="28"/>
          <w:szCs w:val="28"/>
        </w:rPr>
        <w:t xml:space="preserve">4.3 Regime Gate Threshold Discrepancy</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Regime Gate Present in Both Backtests</w:t>
            </w:r>
          </w:p>
          <w:p>
            <w:pPr>
              <w:spacing w:after="0"/>
            </w:pPr>
            <w:r>
              <w:rPr>
                <w:rFonts w:ascii="Arial" w:cs="Arial" w:eastAsia="Arial" w:hAnsi="Arial"/>
                <w:color w:val="1A1A2E"/>
                <w:sz w:val="21"/>
                <w:szCs w:val="21"/>
              </w:rPr>
              <w:t xml:space="preserve">Both implementations include the driftRatio / rangePct regime gate that mirrors the live engine's TRADEABLE_REGIMES filter. Without this, the backtest fires in chop/range where the live engine would not, inflating simulated trade count.</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Different Thresholds: Browser (0.55) vs Backtest (0.40)</w:t>
            </w:r>
          </w:p>
          <w:p>
            <w:pPr>
              <w:spacing w:after="0"/>
            </w:pPr>
            <w:r>
              <w:rPr>
                <w:rFonts w:ascii="Arial" w:cs="Arial" w:eastAsia="Arial" w:hAnsi="Arial"/>
                <w:color w:val="1A1A2E"/>
                <w:sz w:val="21"/>
                <w:szCs w:val="21"/>
              </w:rPr>
              <w:t xml:space="preserve">The browser regime.ts uses driftRatio &gt; 0.55 for trending. The backtest regime gate uses driftRatio &gt;= 0.40. The live engine uses the _shared/regime.ts threshold. These three numbers may not agree, making the CalibrationChart an approximation rather than a faithful simulation of live behavior.</w:t>
            </w:r>
          </w:p>
        </w:tc>
      </w:tr>
    </w:tbl>
    <w:p>
      <w:pPr>
        <w:spacing w:after="80"/>
      </w:pPr>
    </w:p>
    <w:p>
      <w:pPr>
        <w:pStyle w:val="Heading2"/>
        <w:spacing w:after="160" w:before="360"/>
      </w:pPr>
      <w:r>
        <w:rPr>
          <w:rFonts w:ascii="Arial" w:cs="Arial" w:eastAsia="Arial" w:hAnsi="Arial"/>
          <w:b/>
          <w:bCs/>
          <w:color w:val="2B6CB0"/>
          <w:sz w:val="28"/>
          <w:szCs w:val="28"/>
        </w:rPr>
        <w:t xml:space="preserve">4.4 Slippage Model</w:t>
      </w:r>
    </w:p>
    <w:p>
      <w:pPr>
        <w:spacing w:after="160"/>
      </w:pPr>
      <w:r>
        <w:rPr>
          <w:rFonts w:ascii="Arial" w:cs="Arial" w:eastAsia="Arial" w:hAnsi="Arial"/>
          <w:b w:val="false"/>
          <w:bCs w:val="false"/>
          <w:color w:val="1A1A2E"/>
          <w:sz w:val="22"/>
          <w:szCs w:val="22"/>
        </w:rPr>
        <w:t xml:space="preserve">Slippage is currently applied symmetrically: (|entry| + |exit|) × slipFrac × 0.5. For a long trade, slippage on entry should push fill price UP and on exit DOWN (both adverse). The symmetric average understates slippage cost when entry and exit prices diverge significantly (e.g., large trending moves with wide candles). For a more accurate model: long entry fill = entry × (1 + slippageBps/10000), long exit fill = exit × (1 - slippageBps/10000).</w:t>
      </w:r>
    </w:p>
    <w:p>
      <w:pPr>
        <w:spacing w:after="80"/>
      </w:pPr>
    </w:p>
    <w:p>
      <w:pPr>
        <w:pStyle w:val="Heading2"/>
        <w:spacing w:after="160" w:before="360"/>
      </w:pPr>
      <w:r>
        <w:rPr>
          <w:rFonts w:ascii="Arial" w:cs="Arial" w:eastAsia="Arial" w:hAnsi="Arial"/>
          <w:b/>
          <w:bCs/>
          <w:color w:val="2B6CB0"/>
          <w:sz w:val="28"/>
          <w:szCs w:val="28"/>
        </w:rPr>
        <w:t xml:space="preserve">4.5 Metrics Persistence Gap</w:t>
      </w:r>
    </w:p>
    <w:p>
      <w:pPr>
        <w:spacing w:after="160"/>
      </w:pPr>
      <w:r>
        <w:rPr>
          <w:rFonts w:ascii="Arial" w:cs="Arial" w:eastAsia="Arial" w:hAnsi="Arial"/>
          <w:b w:val="false"/>
          <w:bCs w:val="false"/>
          <w:color w:val="1A1A2E"/>
          <w:sz w:val="22"/>
          <w:szCs w:val="22"/>
        </w:rPr>
        <w:t xml:space="preserve">profitFactor, avgWin, and avgLoss are present in SharedMetrics but absent from StrategyMetrics in domain-types.ts, and therefore absent from the DB strategies.metrics jsonb column. The StrategyLab UI cannot display profit factor for stored strategies — only for freshly-run backtests. This creates inconsistency between what the backtest produces and what is persisted.</w:t>
      </w:r>
    </w:p>
    <w:p>
      <w:pPr>
        <w:spacing w:after="80"/>
      </w:pPr>
    </w:p>
    <w:p>
      <w:pPr>
        <w:pStyle w:val="Heading2"/>
        <w:spacing w:after="160" w:before="360"/>
      </w:pPr>
      <w:r>
        <w:rPr>
          <w:rFonts w:ascii="Arial" w:cs="Arial" w:eastAsia="Arial" w:hAnsi="Arial"/>
          <w:b/>
          <w:bCs/>
          <w:color w:val="2B6CB0"/>
          <w:sz w:val="28"/>
          <w:szCs w:val="28"/>
        </w:rPr>
        <w:t xml:space="preserve">4.6 Recommendations</w:t>
      </w:r>
    </w:p>
    <w:p>
      <w:pPr>
        <w:pStyle w:val="ListParagraph"/>
        <w:numPr>
          <w:ilvl w:val="0"/>
          <w:numId w:val="3"/>
        </w:numPr>
        <w:spacing w:after="100"/>
      </w:pPr>
      <w:r>
        <w:rPr>
          <w:rFonts w:ascii="Arial" w:cs="Arial" w:eastAsia="Arial" w:hAnsi="Arial"/>
          <w:color w:val="1A1A2E"/>
          <w:sz w:val="22"/>
          <w:szCs w:val="22"/>
        </w:rPr>
        <w:t xml:space="preserve">Add the fee/slippage model to runSharedBacktest. This is the single most impactful correctness fix for the experiment pipeline.</w:t>
      </w:r>
    </w:p>
    <w:p>
      <w:pPr>
        <w:pStyle w:val="ListParagraph"/>
        <w:numPr>
          <w:ilvl w:val="0"/>
          <w:numId w:val="3"/>
        </w:numPr>
        <w:spacing w:after="100"/>
      </w:pPr>
      <w:r>
        <w:rPr>
          <w:rFonts w:ascii="Arial" w:cs="Arial" w:eastAsia="Arial" w:hAnsi="Arial"/>
          <w:color w:val="1A1A2E"/>
          <w:sz w:val="22"/>
          <w:szCs w:val="22"/>
        </w:rPr>
        <w:t xml:space="preserve">Add profitFactor, avgWin, and avgLoss to StrategyMetrics in domain-types.ts and to the strategies table jsonb schema.</w:t>
      </w:r>
    </w:p>
    <w:p>
      <w:pPr>
        <w:pStyle w:val="ListParagraph"/>
        <w:numPr>
          <w:ilvl w:val="0"/>
          <w:numId w:val="3"/>
        </w:numPr>
        <w:spacing w:after="100"/>
      </w:pPr>
      <w:r>
        <w:rPr>
          <w:rFonts w:ascii="Arial" w:cs="Arial" w:eastAsia="Arial" w:hAnsi="Arial"/>
          <w:color w:val="1A1A2E"/>
          <w:sz w:val="22"/>
          <w:szCs w:val="22"/>
        </w:rPr>
        <w:t xml:space="preserve">Rename 'sharpe' to 'rSharpe' or 'tradeQuality' in both engines and update all UI display labels.</w:t>
      </w:r>
    </w:p>
    <w:p>
      <w:pPr>
        <w:pStyle w:val="ListParagraph"/>
        <w:numPr>
          <w:ilvl w:val="0"/>
          <w:numId w:val="3"/>
        </w:numPr>
        <w:spacing w:after="100"/>
      </w:pPr>
      <w:r>
        <w:rPr>
          <w:rFonts w:ascii="Arial" w:cs="Arial" w:eastAsia="Arial" w:hAnsi="Arial"/>
          <w:color w:val="1A1A2E"/>
          <w:sz w:val="22"/>
          <w:szCs w:val="22"/>
        </w:rPr>
        <w:t xml:space="preserve">Unify the regime gate threshold to a single exported constant in _shared/regime.ts, imported by both the browser regime.ts and both backtest engines.</w:t>
      </w:r>
    </w:p>
    <w:p>
      <w:pPr>
        <w:pStyle w:val="ListParagraph"/>
        <w:numPr>
          <w:ilvl w:val="0"/>
          <w:numId w:val="3"/>
        </w:numPr>
        <w:spacing w:after="100"/>
      </w:pPr>
      <w:r>
        <w:rPr>
          <w:rFonts w:ascii="Arial" w:cs="Arial" w:eastAsia="Arial" w:hAnsi="Arial"/>
          <w:color w:val="1A1A2E"/>
          <w:sz w:val="22"/>
          <w:szCs w:val="22"/>
        </w:rPr>
        <w:t xml:space="preserve">Apply slippage directionally in backtest.ts and backtest-shared.ts for more accurate cost estimation.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5 — Database Engineering</w:t>
      </w:r>
    </w:p>
    <w:p>
      <w:pPr>
        <w:spacing w:after="160"/>
      </w:pPr>
      <w:r>
        <w:rPr>
          <w:rFonts w:ascii="Arial" w:cs="Arial" w:eastAsia="Arial" w:hAnsi="Arial"/>
          <w:b w:val="false"/>
          <w:bCs w:val="false"/>
          <w:color w:val="1A1A2E"/>
          <w:sz w:val="22"/>
          <w:szCs w:val="22"/>
        </w:rPr>
        <w:t xml:space="preserve">The database layer is the strongest part of the system. 51 idempotent migrations, server-authoritative triggers blocking client writes to safety-critical columns, FSM CHECK constraints, and defense-in-depth privilege revocation. The Vault integration for broker credentials is production-quality.</w:t>
      </w:r>
    </w:p>
    <w:p>
      <w:pPr>
        <w:pStyle w:val="Heading2"/>
        <w:spacing w:after="160" w:before="360"/>
      </w:pPr>
      <w:r>
        <w:rPr>
          <w:rFonts w:ascii="Arial" w:cs="Arial" w:eastAsia="Arial" w:hAnsi="Arial"/>
          <w:b/>
          <w:bCs/>
          <w:color w:val="2B6CB0"/>
          <w:sz w:val="28"/>
          <w:szCs w:val="28"/>
        </w:rPr>
        <w:t xml:space="preserve">5.1 Schema Hygiene</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Idempotent Migrations</w:t>
            </w:r>
          </w:p>
          <w:p>
            <w:pPr>
              <w:spacing w:after="0"/>
            </w:pPr>
            <w:r>
              <w:rPr>
                <w:rFonts w:ascii="Arial" w:cs="Arial" w:eastAsia="Arial" w:hAnsi="Arial"/>
                <w:color w:val="1A1A2E"/>
                <w:sz w:val="21"/>
                <w:szCs w:val="21"/>
              </w:rPr>
              <w:t xml:space="preserve">Named migrations use IF NOT EXISTS / IF EXISTS guards consistently. DO $$ BEGIN ... END $$ wrapping for constraint checks prevents re-application errors. This is production-quality migration discipline.</w:t>
            </w:r>
          </w:p>
        </w:tc>
      </w:tr>
    </w:tbl>
    <w:p>
      <w:pPr>
        <w:spacing w:after="80"/>
      </w:pP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FSM at DB Layer</w:t>
            </w:r>
          </w:p>
          <w:p>
            <w:pPr>
              <w:spacing w:after="0"/>
            </w:pPr>
            <w:r>
              <w:rPr>
                <w:rFonts w:ascii="Arial" w:cs="Arial" w:eastAsia="Arial" w:hAnsi="Arial"/>
                <w:color w:val="1A1A2E"/>
                <w:sz w:val="21"/>
                <w:szCs w:val="21"/>
              </w:rPr>
              <w:t xml:space="preserve">CHECK constraints on lifecycle_phase columns refuse any phase value the FSM does not recognize, providing database-level defense-in-depth independent of the application-layer FSM.</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51 Migrations, No Squash Plan</w:t>
            </w:r>
          </w:p>
          <w:p>
            <w:pPr>
              <w:spacing w:after="0"/>
            </w:pPr>
            <w:r>
              <w:rPr>
                <w:rFonts w:ascii="Arial" w:cs="Arial" w:eastAsia="Arial" w:hAnsi="Arial"/>
                <w:color w:val="1A1A2E"/>
                <w:sz w:val="21"/>
                <w:szCs w:val="21"/>
              </w:rPr>
              <w:t xml:space="preserve">A new environment must replay all 51 migrations sequentially. Several early UUID-named migrations are likely superseded by later named ones. No migration dependency graph exists. This is manageable today but will become a deployment bottleneck at 100+ migrations and should be squashed at a stable checkpoint.</w:t>
            </w:r>
          </w:p>
        </w:tc>
      </w:tr>
    </w:tbl>
    <w:p>
      <w:pPr>
        <w:spacing w:after="80"/>
      </w:pPr>
    </w:p>
    <w:p>
      <w:pPr>
        <w:pStyle w:val="Heading2"/>
        <w:spacing w:after="160" w:before="360"/>
      </w:pPr>
      <w:r>
        <w:rPr>
          <w:rFonts w:ascii="Arial" w:cs="Arial" w:eastAsia="Arial" w:hAnsi="Arial"/>
          <w:b/>
          <w:bCs/>
          <w:color w:val="2B6CB0"/>
          <w:sz w:val="28"/>
          <w:szCs w:val="28"/>
        </w:rPr>
        <w:t xml:space="preserve">5.2 Missing Indexes on High-Frequency Query Paths</w:t>
      </w: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Unindexed Critical Query Patterns</w:t>
            </w:r>
          </w:p>
          <w:p>
            <w:pPr>
              <w:spacing w:after="0"/>
            </w:pPr>
            <w:r>
              <w:rPr>
                <w:rFonts w:ascii="Arial" w:cs="Arial" w:eastAsia="Arial" w:hAnsi="Arial"/>
                <w:color w:val="1A1A2E"/>
                <w:sz w:val="21"/>
                <w:szCs w:val="21"/>
              </w:rPr>
              <w:t xml:space="preserve">The following queries run at 1-minute cron cadence or per-tick frequency with no custom indexes: trades WHERE user_id=? AND created_at &gt;= today (auto_executed_notional_today), trade_signals WHERE user_id=? AND status='pending' (Jessica), market_intelligence WHERE user_id=? AND symbol=? ORDER BY created_at DESC (signal engine). These will table-scan as data grows, becoming the dominant latency source within months of continuous operation.</w:t>
            </w:r>
          </w:p>
        </w:tc>
      </w:tr>
    </w:tbl>
    <w:p>
      <w:pPr>
        <w:spacing w:after="80"/>
      </w:pPr>
    </w:p>
    <w:p>
      <w:pPr>
        <w:pStyle w:val="Heading2"/>
        <w:spacing w:after="160" w:before="360"/>
      </w:pPr>
      <w:r>
        <w:rPr>
          <w:rFonts w:ascii="Arial" w:cs="Arial" w:eastAsia="Arial" w:hAnsi="Arial"/>
          <w:b/>
          <w:bCs/>
          <w:color w:val="2B6CB0"/>
          <w:sz w:val="28"/>
          <w:szCs w:val="28"/>
        </w:rPr>
        <w:t xml:space="preserve">5.3 The auto_executed_notional_today Function</w:t>
      </w:r>
    </w:p>
    <w:p>
      <w:pPr>
        <w:spacing w:after="160"/>
      </w:pPr>
      <w:r>
        <w:rPr>
          <w:rFonts w:ascii="Arial" w:cs="Arial" w:eastAsia="Arial" w:hAnsi="Arial"/>
          <w:b w:val="false"/>
          <w:bCs w:val="false"/>
          <w:color w:val="1A1A2E"/>
          <w:sz w:val="22"/>
          <w:szCs w:val="22"/>
        </w:rPr>
        <w:t xml:space="preserve">The condition 'auto' = ANY(reason_tags) is a linear scan of the text[] column. A GIN index on reason_tags would make this fast. The function is STABLE (correctly, since it reads current data), but without an index it scans the full trades table filtered only by user_id and date.</w:t>
      </w:r>
    </w:p>
    <w:p>
      <w:pPr>
        <w:spacing w:after="80"/>
      </w:pPr>
    </w:p>
    <w:p>
      <w:pPr>
        <w:pStyle w:val="Heading2"/>
        <w:spacing w:after="160" w:before="360"/>
      </w:pPr>
      <w:r>
        <w:rPr>
          <w:rFonts w:ascii="Arial" w:cs="Arial" w:eastAsia="Arial" w:hAnsi="Arial"/>
          <w:b/>
          <w:bCs/>
          <w:color w:val="2B6CB0"/>
          <w:sz w:val="28"/>
          <w:szCs w:val="28"/>
        </w:rPr>
        <w:t xml:space="preserve">5.4 Broker Order ID Columns</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Order ID Audit Trail</w:t>
            </w:r>
          </w:p>
          <w:p>
            <w:pPr>
              <w:spacing w:after="0"/>
            </w:pPr>
            <w:r>
              <w:rPr>
                <w:rFonts w:ascii="Arial" w:cs="Arial" w:eastAsia="Arial" w:hAnsi="Arial"/>
                <w:color w:val="1A1A2E"/>
                <w:sz w:val="21"/>
                <w:szCs w:val="21"/>
              </w:rPr>
              <w:t xml:space="preserve">broker_order_id and broker_close_order_id on the trades table create the necessary Coinbase order audit trail. Null in paper mode, populated in live mode.</w:t>
            </w:r>
          </w:p>
        </w:tc>
      </w:tr>
    </w:tbl>
    <w:p>
      <w:pPr>
        <w:spacing w:after="80"/>
      </w:pPr>
    </w:p>
    <w:p>
      <w:pPr>
        <w:spacing w:after="160"/>
      </w:pPr>
      <w:r>
        <w:rPr>
          <w:rFonts w:ascii="Arial" w:cs="Arial" w:eastAsia="Arial" w:hAnsi="Arial"/>
          <w:b w:val="false"/>
          <w:bCs w:val="false"/>
          <w:color w:val="1A1A2E"/>
          <w:sz w:val="22"/>
          <w:szCs w:val="22"/>
        </w:rPr>
        <w:t xml:space="preserve">However, there is no UNIQUE constraint on broker_order_id. Once the ghost-trade pre-insert fix is implemented (Section 3.1), add UNIQUE(broker_order_id) WHERE broker_order_id IS NOT NULL to prevent double-entry of the same Coinbase order.</w:t>
      </w:r>
    </w:p>
    <w:p>
      <w:pPr>
        <w:spacing w:after="80"/>
      </w:pPr>
    </w:p>
    <w:p>
      <w:pPr>
        <w:pStyle w:val="Heading2"/>
        <w:spacing w:after="160" w:before="360"/>
      </w:pPr>
      <w:r>
        <w:rPr>
          <w:rFonts w:ascii="Arial" w:cs="Arial" w:eastAsia="Arial" w:hAnsi="Arial"/>
          <w:b/>
          <w:bCs/>
          <w:color w:val="2B6CB0"/>
          <w:sz w:val="28"/>
          <w:szCs w:val="28"/>
        </w:rPr>
        <w:t xml:space="preserve">5.5 RLS Defense-in-Depth</w:t>
      </w:r>
    </w:p>
    <w:p>
      <w:pPr>
        <w:spacing w:after="160"/>
      </w:pPr>
      <w:r>
        <w:rPr>
          <w:rFonts w:ascii="Arial" w:cs="Arial" w:eastAsia="Arial" w:hAnsi="Arial"/>
          <w:b w:val="false"/>
          <w:bCs w:val="false"/>
          <w:color w:val="1A1A2E"/>
          <w:sz w:val="22"/>
          <w:szCs w:val="22"/>
        </w:rPr>
        <w:t xml:space="preserve">The profiles table query in AuthContext (src/contexts/AuthContext.tsx) does not include .eq('user_id', userId) — it relies entirely on RLS to scope the result. While RLS is correct, a defense-in-depth explicit filter is the safer pattern for a table used in session establishment.</w:t>
      </w:r>
    </w:p>
    <w:p>
      <w:pPr>
        <w:spacing w:after="80"/>
      </w:pPr>
    </w:p>
    <w:p>
      <w:pPr>
        <w:pStyle w:val="Heading2"/>
        <w:spacing w:after="160" w:before="360"/>
      </w:pPr>
      <w:r>
        <w:rPr>
          <w:rFonts w:ascii="Arial" w:cs="Arial" w:eastAsia="Arial" w:hAnsi="Arial"/>
          <w:b/>
          <w:bCs/>
          <w:color w:val="2B6CB0"/>
          <w:sz w:val="28"/>
          <w:szCs w:val="28"/>
        </w:rPr>
        <w:t xml:space="preserve">5.6 Recommendations</w:t>
      </w:r>
    </w:p>
    <w:p>
      <w:pPr>
        <w:pStyle w:val="ListParagraph"/>
        <w:numPr>
          <w:ilvl w:val="0"/>
          <w:numId w:val="3"/>
        </w:numPr>
        <w:spacing w:after="100"/>
      </w:pPr>
      <w:r>
        <w:rPr>
          <w:rFonts w:ascii="Arial" w:cs="Arial" w:eastAsia="Arial" w:hAnsi="Arial"/>
          <w:color w:val="1A1A2E"/>
          <w:sz w:val="22"/>
          <w:szCs w:val="22"/>
        </w:rPr>
        <w:t xml:space="preserve">CREATE INDEX CONCURRENTLY trades_user_created ON trades(user_id, created_at DESC);</w:t>
      </w:r>
    </w:p>
    <w:p>
      <w:pPr>
        <w:pStyle w:val="ListParagraph"/>
        <w:numPr>
          <w:ilvl w:val="0"/>
          <w:numId w:val="3"/>
        </w:numPr>
        <w:spacing w:after="100"/>
      </w:pPr>
      <w:r>
        <w:rPr>
          <w:rFonts w:ascii="Arial" w:cs="Arial" w:eastAsia="Arial" w:hAnsi="Arial"/>
          <w:color w:val="1A1A2E"/>
          <w:sz w:val="22"/>
          <w:szCs w:val="22"/>
        </w:rPr>
        <w:t xml:space="preserve">CREATE INDEX CONCURRENTLY trade_signals_user_status ON trade_signals(user_id, status) WHERE status='pending';</w:t>
      </w:r>
    </w:p>
    <w:p>
      <w:pPr>
        <w:pStyle w:val="ListParagraph"/>
        <w:numPr>
          <w:ilvl w:val="0"/>
          <w:numId w:val="3"/>
        </w:numPr>
        <w:spacing w:after="100"/>
      </w:pPr>
      <w:r>
        <w:rPr>
          <w:rFonts w:ascii="Arial" w:cs="Arial" w:eastAsia="Arial" w:hAnsi="Arial"/>
          <w:color w:val="1A1A2E"/>
          <w:sz w:val="22"/>
          <w:szCs w:val="22"/>
        </w:rPr>
        <w:t xml:space="preserve">CREATE INDEX CONCURRENTLY market_intel_user_symbol ON market_intelligence(user_id, symbol, created_at DESC);</w:t>
      </w:r>
    </w:p>
    <w:p>
      <w:pPr>
        <w:pStyle w:val="ListParagraph"/>
        <w:numPr>
          <w:ilvl w:val="0"/>
          <w:numId w:val="3"/>
        </w:numPr>
        <w:spacing w:after="100"/>
      </w:pPr>
      <w:r>
        <w:rPr>
          <w:rFonts w:ascii="Arial" w:cs="Arial" w:eastAsia="Arial" w:hAnsi="Arial"/>
          <w:color w:val="1A1A2E"/>
          <w:sz w:val="22"/>
          <w:szCs w:val="22"/>
        </w:rPr>
        <w:t xml:space="preserve">CREATE INDEX CONCURRENTLY trades_reason_tags_gin ON trades USING GIN(reason_tags);</w:t>
      </w:r>
    </w:p>
    <w:p>
      <w:pPr>
        <w:pStyle w:val="ListParagraph"/>
        <w:numPr>
          <w:ilvl w:val="0"/>
          <w:numId w:val="3"/>
        </w:numPr>
        <w:spacing w:after="100"/>
      </w:pPr>
      <w:r>
        <w:rPr>
          <w:rFonts w:ascii="Arial" w:cs="Arial" w:eastAsia="Arial" w:hAnsi="Arial"/>
          <w:color w:val="1A1A2E"/>
          <w:sz w:val="22"/>
          <w:szCs w:val="22"/>
        </w:rPr>
        <w:t xml:space="preserve">Add UNIQUE(broker_order_id) WHERE broker_order_id IS NOT NULL after implementing the pre-insert fix.</w:t>
      </w:r>
    </w:p>
    <w:p>
      <w:pPr>
        <w:pStyle w:val="ListParagraph"/>
        <w:numPr>
          <w:ilvl w:val="0"/>
          <w:numId w:val="3"/>
        </w:numPr>
        <w:spacing w:after="100"/>
      </w:pPr>
      <w:r>
        <w:rPr>
          <w:rFonts w:ascii="Arial" w:cs="Arial" w:eastAsia="Arial" w:hAnsi="Arial"/>
          <w:color w:val="1A1A2E"/>
          <w:sz w:val="22"/>
          <w:szCs w:val="22"/>
        </w:rPr>
        <w:t xml:space="preserve">Add .eq('user_id', userId) to the profiles query in AuthContext as defense-in-depth.</w:t>
      </w:r>
    </w:p>
    <w:p>
      <w:pPr>
        <w:pStyle w:val="ListParagraph"/>
        <w:numPr>
          <w:ilvl w:val="0"/>
          <w:numId w:val="3"/>
        </w:numPr>
        <w:spacing w:after="100"/>
      </w:pPr>
      <w:r>
        <w:rPr>
          <w:rFonts w:ascii="Arial" w:cs="Arial" w:eastAsia="Arial" w:hAnsi="Arial"/>
          <w:color w:val="1A1A2E"/>
          <w:sz w:val="22"/>
          <w:szCs w:val="22"/>
        </w:rPr>
        <w:t xml:space="preserve">Plan a migration squash at migration 60 or when deployment time exceeds 30 seconds.</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6 — Frontend Engineering</w:t>
      </w:r>
    </w:p>
    <w:p>
      <w:pPr>
        <w:spacing w:after="160"/>
      </w:pPr>
      <w:r>
        <w:rPr>
          <w:rFonts w:ascii="Arial" w:cs="Arial" w:eastAsia="Arial" w:hAnsi="Arial"/>
          <w:b w:val="false"/>
          <w:bCs w:val="false"/>
          <w:color w:val="1A1A2E"/>
          <w:sz w:val="22"/>
          <w:szCs w:val="22"/>
        </w:rPr>
        <w:t xml:space="preserve">The React architecture is clean and modern. shadcn/ui + Radix provides accessible component primitives. The hook layer is well-separated from components. TypeScript coverage is thorough with any usage confined to mapRow() adapters — the correct isolation point.</w:t>
      </w:r>
    </w:p>
    <w:p>
      <w:pPr>
        <w:pStyle w:val="Heading2"/>
        <w:spacing w:after="160" w:before="360"/>
      </w:pPr>
      <w:r>
        <w:rPr>
          <w:rFonts w:ascii="Arial" w:cs="Arial" w:eastAsia="Arial" w:hAnsi="Arial"/>
          <w:b/>
          <w:bCs/>
          <w:color w:val="2B6CB0"/>
          <w:sz w:val="28"/>
          <w:szCs w:val="28"/>
        </w:rPr>
        <w:t xml:space="preserve">6.1 Realtime Channel Architecture</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Consistent Realtime Pattern</w:t>
            </w:r>
          </w:p>
          <w:p>
            <w:pPr>
              <w:spacing w:after="0"/>
            </w:pPr>
            <w:r>
              <w:rPr>
                <w:rFonts w:ascii="Arial" w:cs="Arial" w:eastAsia="Arial" w:hAnsi="Arial"/>
                <w:color w:val="1A1A2E"/>
                <w:sz w:val="21"/>
                <w:szCs w:val="21"/>
              </w:rPr>
              <w:t xml:space="preserve">Every hook follows the same pattern: initial fetch + Postgres realtime subscription + cleanup on unmount. The random suffix on channel names prevents ID collisions across concurrent renders.</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Channel Accumulation Risk</w:t>
            </w:r>
          </w:p>
          <w:p>
            <w:pPr>
              <w:spacing w:after="0"/>
            </w:pPr>
            <w:r>
              <w:rPr>
                <w:rFonts w:ascii="Arial" w:cs="Arial" w:eastAsia="Arial" w:hAnsi="Arial"/>
                <w:color w:val="1A1A2E"/>
                <w:sz w:val="21"/>
                <w:szCs w:val="21"/>
              </w:rPr>
              <w:t xml:space="preserve">12+ hooks each subscribe independently. Under React StrictMode's double-invocation (development) or navigation patterns that don't fully unmount components, subscriptions accumulate. Supabase has a soft limit of 200 concurrent realtime subscriptions per project on free/pro tiers. A shared subscription manager — one WebSocket connection with multiple filters — would reduce connection count from 12+ to 1-2.</w:t>
            </w:r>
          </w:p>
        </w:tc>
      </w:tr>
    </w:tbl>
    <w:p>
      <w:pPr>
        <w:spacing w:after="80"/>
      </w:pPr>
    </w:p>
    <w:p>
      <w:pPr>
        <w:pStyle w:val="Heading2"/>
        <w:spacing w:after="160" w:before="360"/>
      </w:pPr>
      <w:r>
        <w:rPr>
          <w:rFonts w:ascii="Arial" w:cs="Arial" w:eastAsia="Arial" w:hAnsi="Arial"/>
          <w:b/>
          <w:bCs/>
          <w:color w:val="2B6CB0"/>
          <w:sz w:val="28"/>
          <w:szCs w:val="28"/>
        </w:rPr>
        <w:t xml:space="preserve">6.2 State Management Quality</w:t>
      </w:r>
    </w:p>
    <w:p>
      <w:pPr>
        <w:pStyle w:val="ListParagraph"/>
        <w:numPr>
          <w:ilvl w:val="0"/>
          <w:numId w:val="2"/>
        </w:numPr>
        <w:spacing w:after="100"/>
      </w:pPr>
      <w:r>
        <w:rPr>
          <w:rFonts w:ascii="Arial" w:cs="Arial" w:eastAsia="Arial" w:hAnsi="Arial"/>
          <w:b w:val="false"/>
          <w:bCs w:val="false"/>
          <w:color w:val="1A1A2E"/>
          <w:sz w:val="22"/>
          <w:szCs w:val="22"/>
        </w:rPr>
        <w:t xml:space="preserve">useDoctrineSettings is the gold standard hook: useCallback for stable refetch identity, realtime subscription for live updates, useMemo for derived state. Other hooks should follow this pattern.</w:t>
      </w:r>
    </w:p>
    <w:p>
      <w:pPr>
        <w:pStyle w:val="ListParagraph"/>
        <w:numPr>
          <w:ilvl w:val="0"/>
          <w:numId w:val="2"/>
        </w:numPr>
        <w:spacing w:after="100"/>
      </w:pPr>
      <w:r>
        <w:rPr>
          <w:rFonts w:ascii="Arial" w:cs="Arial" w:eastAsia="Arial" w:hAnsi="Arial"/>
          <w:b w:val="false"/>
          <w:bCs w:val="false"/>
          <w:color w:val="1A1A2E"/>
          <w:sz w:val="22"/>
          <w:szCs w:val="22"/>
        </w:rPr>
        <w:t xml:space="preserve">useMarkToMarket is correctly designed as a nudge pattern: defers to the cron as source of truth, only invokes the edge function when the page is visible and open trades exist, and uses an inFlight ref to prevent concurrent calls.</w:t>
      </w:r>
    </w:p>
    <w:p>
      <w:pPr>
        <w:pStyle w:val="ListParagraph"/>
        <w:numPr>
          <w:ilvl w:val="0"/>
          <w:numId w:val="2"/>
        </w:numPr>
        <w:spacing w:after="100"/>
      </w:pPr>
      <w:r>
        <w:rPr>
          <w:rFonts w:ascii="Arial" w:cs="Arial" w:eastAsia="Arial" w:hAnsi="Arial"/>
          <w:b w:val="false"/>
          <w:bCs w:val="false"/>
          <w:color w:val="1A1A2E"/>
          <w:sz w:val="22"/>
          <w:szCs w:val="22"/>
        </w:rPr>
        <w:t xml:space="preserve">AuthContext correctly subscribes before bootstrapping session to avoid the state-change-before-listener race condition.</w:t>
      </w:r>
    </w:p>
    <w:p>
      <w:pPr>
        <w:spacing w:after="80"/>
      </w:pPr>
    </w:p>
    <w:p>
      <w:pPr>
        <w:pStyle w:val="Heading2"/>
        <w:spacing w:after="160" w:before="360"/>
      </w:pPr>
      <w:r>
        <w:rPr>
          <w:rFonts w:ascii="Arial" w:cs="Arial" w:eastAsia="Arial" w:hAnsi="Arial"/>
          <w:b/>
          <w:bCs/>
          <w:color w:val="2B6CB0"/>
          <w:sz w:val="28"/>
          <w:szCs w:val="28"/>
        </w:rPr>
        <w:t xml:space="preserve">6.3 Type Safety</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No any in Domain Code</w:t>
            </w:r>
          </w:p>
          <w:p>
            <w:pPr>
              <w:spacing w:after="0"/>
            </w:pPr>
            <w:r>
              <w:rPr>
                <w:rFonts w:ascii="Arial" w:cs="Arial" w:eastAsia="Arial" w:hAnsi="Arial"/>
                <w:color w:val="1A1A2E"/>
                <w:sz w:val="21"/>
                <w:szCs w:val="21"/>
              </w:rPr>
              <w:t xml:space="preserve">domain-types.ts, doctrine-resolver.ts, regime.ts, and backtest.ts are fully typed. The any escapes are confined to mapRow() adapters interfacing with the raw Supabase rows — the correct and only acceptable isolation point.</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supabase.rpc as any Cast</w:t>
            </w:r>
          </w:p>
          <w:p>
            <w:pPr>
              <w:spacing w:after="0"/>
            </w:pPr>
            <w:r>
              <w:rPr>
                <w:rFonts w:ascii="Arial" w:cs="Arial" w:eastAsia="Arial" w:hAnsi="Arial"/>
                <w:color w:val="1A1A2E"/>
                <w:sz w:val="21"/>
                <w:szCs w:val="21"/>
              </w:rPr>
              <w:t xml:space="preserve">useSystemState's acknowledgeLiveMoney casts supabase.rpc as any with a comment noting 'types update after migration deployment.' This has been in place long enough to warrant a type generation run to replace the cast with a proper typed call.</w:t>
            </w:r>
          </w:p>
        </w:tc>
      </w:tr>
    </w:tbl>
    <w:p>
      <w:pPr>
        <w:spacing w:after="80"/>
      </w:pPr>
    </w:p>
    <w:p>
      <w:pPr>
        <w:pStyle w:val="Heading2"/>
        <w:spacing w:after="160" w:before="360"/>
      </w:pPr>
      <w:r>
        <w:rPr>
          <w:rFonts w:ascii="Arial" w:cs="Arial" w:eastAsia="Arial" w:hAnsi="Arial"/>
          <w:b/>
          <w:bCs/>
          <w:color w:val="2B6CB0"/>
          <w:sz w:val="28"/>
          <w:szCs w:val="28"/>
        </w:rPr>
        <w:t xml:space="preserve">6.4 Component Quality</w:t>
      </w:r>
    </w:p>
    <w:p>
      <w:pPr>
        <w:pStyle w:val="ListParagraph"/>
        <w:numPr>
          <w:ilvl w:val="0"/>
          <w:numId w:val="2"/>
        </w:numPr>
        <w:spacing w:after="100"/>
      </w:pPr>
      <w:r>
        <w:rPr>
          <w:rFonts w:ascii="Arial" w:cs="Arial" w:eastAsia="Arial" w:hAnsi="Arial"/>
          <w:b w:val="false"/>
          <w:bCs w:val="false"/>
          <w:color w:val="1A1A2E"/>
          <w:sz w:val="22"/>
          <w:szCs w:val="22"/>
        </w:rPr>
        <w:t xml:space="preserve">The AlertCard/classifyAlert separation is exemplary: classifyAlert is a pure function mapping alert data to structured UX guidance (what/why/fixes/actions), keeping the UI component free of business logic.</w:t>
      </w:r>
    </w:p>
    <w:p>
      <w:pPr>
        <w:pStyle w:val="ListParagraph"/>
        <w:numPr>
          <w:ilvl w:val="0"/>
          <w:numId w:val="2"/>
        </w:numPr>
        <w:spacing w:after="100"/>
      </w:pPr>
      <w:r>
        <w:rPr>
          <w:rFonts w:ascii="Arial" w:cs="Arial" w:eastAsia="Arial" w:hAnsi="Arial"/>
          <w:b w:val="false"/>
          <w:bCs w:val="false"/>
          <w:color w:val="1A1A2E"/>
          <w:sz w:val="22"/>
          <w:szCs w:val="22"/>
        </w:rPr>
        <w:t xml:space="preserve">The LiveMoneyAcknowledgmentDialog gate — requiring a one-time signed server-side acknowledgment before live trading — is the right UX pattern for a high-stakes mode transition.</w:t>
      </w:r>
    </w:p>
    <w:p>
      <w:pPr>
        <w:pStyle w:val="ListParagraph"/>
        <w:numPr>
          <w:ilvl w:val="0"/>
          <w:numId w:val="2"/>
        </w:numPr>
        <w:spacing w:after="100"/>
      </w:pPr>
      <w:r>
        <w:rPr>
          <w:rFonts w:ascii="Arial" w:cs="Arial" w:eastAsia="Arial" w:hAnsi="Arial"/>
          <w:b w:val="false"/>
          <w:bCs w:val="false"/>
          <w:color w:val="1A1A2E"/>
          <w:sz w:val="22"/>
          <w:szCs w:val="22"/>
        </w:rPr>
        <w:t xml:space="preserve">The FloatingKillSwitch requires confirmation via KillSwitchDialog before toggling — correct fat-finger protection for a critical control.</w:t>
      </w:r>
    </w:p>
    <w:p>
      <w:pPr>
        <w:spacing w:after="80"/>
      </w:pPr>
    </w:p>
    <w:p>
      <w:pPr>
        <w:pStyle w:val="Heading2"/>
        <w:spacing w:after="160" w:before="360"/>
      </w:pPr>
      <w:r>
        <w:rPr>
          <w:rFonts w:ascii="Arial" w:cs="Arial" w:eastAsia="Arial" w:hAnsi="Arial"/>
          <w:b/>
          <w:bCs/>
          <w:color w:val="2B6CB0"/>
          <w:sz w:val="28"/>
          <w:szCs w:val="28"/>
        </w:rPr>
        <w:t xml:space="preserve">6.5 Recommendations</w:t>
      </w:r>
    </w:p>
    <w:p>
      <w:pPr>
        <w:pStyle w:val="ListParagraph"/>
        <w:numPr>
          <w:ilvl w:val="0"/>
          <w:numId w:val="3"/>
        </w:numPr>
        <w:spacing w:after="100"/>
      </w:pPr>
      <w:r>
        <w:rPr>
          <w:rFonts w:ascii="Arial" w:cs="Arial" w:eastAsia="Arial" w:hAnsi="Arial"/>
          <w:color w:val="1A1A2E"/>
          <w:sz w:val="22"/>
          <w:szCs w:val="22"/>
        </w:rPr>
        <w:t xml:space="preserve">Implement a centralized realtime subscription manager: one Supabase channel with multiple table filters, replacing the current per-hook channel pattern.</w:t>
      </w:r>
    </w:p>
    <w:p>
      <w:pPr>
        <w:pStyle w:val="ListParagraph"/>
        <w:numPr>
          <w:ilvl w:val="0"/>
          <w:numId w:val="3"/>
        </w:numPr>
        <w:spacing w:after="100"/>
      </w:pPr>
      <w:r>
        <w:rPr>
          <w:rFonts w:ascii="Arial" w:cs="Arial" w:eastAsia="Arial" w:hAnsi="Arial"/>
          <w:color w:val="1A1A2E"/>
          <w:sz w:val="22"/>
          <w:szCs w:val="22"/>
        </w:rPr>
        <w:t xml:space="preserve">Run supabase gen types after deploying the acknowledge_live_money migration and remove the rpc as any cast in useSystemState.</w:t>
      </w:r>
    </w:p>
    <w:p>
      <w:pPr>
        <w:pStyle w:val="ListParagraph"/>
        <w:numPr>
          <w:ilvl w:val="0"/>
          <w:numId w:val="3"/>
        </w:numPr>
        <w:spacing w:after="100"/>
      </w:pPr>
      <w:r>
        <w:rPr>
          <w:rFonts w:ascii="Arial" w:cs="Arial" w:eastAsia="Arial" w:hAnsi="Arial"/>
          <w:color w:val="1A1A2E"/>
          <w:sz w:val="22"/>
          <w:szCs w:val="22"/>
        </w:rPr>
        <w:t xml:space="preserve">Add React.memo to MultiSymbolStrip — it re-renders on every engine tick (every 60 seconds) even when the operator is not looking at it.</w:t>
      </w:r>
    </w:p>
    <w:p>
      <w:pPr>
        <w:pStyle w:val="ListParagraph"/>
        <w:numPr>
          <w:ilvl w:val="0"/>
          <w:numId w:val="3"/>
        </w:numPr>
        <w:spacing w:after="100"/>
      </w:pPr>
      <w:r>
        <w:rPr>
          <w:rFonts w:ascii="Arial" w:cs="Arial" w:eastAsia="Arial" w:hAnsi="Arial"/>
          <w:color w:val="1A1A2E"/>
          <w:sz w:val="22"/>
          <w:szCs w:val="22"/>
        </w:rPr>
        <w:t xml:space="preserve">Add an error boundary around the Copilot page to handle non-JSON responses from the copilot-chat edge function gracefully.</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7 — AI / LLM Integration Engineering</w:t>
      </w:r>
    </w:p>
    <w:p>
      <w:pPr>
        <w:spacing w:after="160"/>
      </w:pPr>
      <w:r>
        <w:rPr>
          <w:rFonts w:ascii="Arial" w:cs="Arial" w:eastAsia="Arial" w:hAnsi="Arial"/>
          <w:b w:val="false"/>
          <w:bCs w:val="false"/>
          <w:color w:val="1A1A2E"/>
          <w:sz w:val="22"/>
          <w:szCs w:val="22"/>
        </w:rPr>
        <w:t xml:space="preserve">The multi-agent Suits Desk architecture is creative and the cognitive model (each agent has a clearly defined role and scope) makes the system comprehensible. The key risk — LLM output bypassing the deterministic safety stack — is correctly mitigated: the LLM is an advisor, and every signal it produces flows through clampSize and evaluateRiskGates before touching the DB.</w:t>
      </w:r>
    </w:p>
    <w:p>
      <w:pPr>
        <w:pStyle w:val="Heading2"/>
        <w:spacing w:after="160" w:before="360"/>
      </w:pPr>
      <w:r>
        <w:rPr>
          <w:rFonts w:ascii="Arial" w:cs="Arial" w:eastAsia="Arial" w:hAnsi="Arial"/>
          <w:b/>
          <w:bCs/>
          <w:color w:val="2B6CB0"/>
          <w:sz w:val="28"/>
          <w:szCs w:val="28"/>
        </w:rPr>
        <w:t xml:space="preserve">7.1 LLM-to-Action Safety Chain</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LLM Output Always Passes Deterministic Gates</w:t>
            </w:r>
          </w:p>
          <w:p>
            <w:pPr>
              <w:spacing w:after="0"/>
            </w:pPr>
            <w:r>
              <w:rPr>
                <w:rFonts w:ascii="Arial" w:cs="Arial" w:eastAsia="Arial" w:hAnsi="Arial"/>
                <w:color w:val="1A1A2E"/>
                <w:sz w:val="21"/>
                <w:szCs w:val="21"/>
              </w:rPr>
              <w:t xml:space="preserve">The signal-engine flow: LLM proposes signal → clampSize() clamps size → evaluateRiskGates() blocks or allows → FSM INSERT. Jessica's autonomous approve path calls signal-decide, which also runs evaluateRiskGates. The LLM cannot force a signal to bypass any gate. This is the correct architecture for LLM-assisted trading.</w:t>
            </w:r>
          </w:p>
        </w:tc>
      </w:tr>
    </w:tbl>
    <w:p>
      <w:pPr>
        <w:spacing w:after="80"/>
      </w:pPr>
    </w:p>
    <w:p>
      <w:pPr>
        <w:pStyle w:val="Heading2"/>
        <w:spacing w:after="160" w:before="360"/>
      </w:pPr>
      <w:r>
        <w:rPr>
          <w:rFonts w:ascii="Arial" w:cs="Arial" w:eastAsia="Arial" w:hAnsi="Arial"/>
          <w:b/>
          <w:bCs/>
          <w:color w:val="2B6CB0"/>
          <w:sz w:val="28"/>
          <w:szCs w:val="28"/>
        </w:rPr>
        <w:t xml:space="preserve">7.2 Model Selection Risk</w:t>
      </w: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Preview Model on Critical Cron Path</w:t>
            </w:r>
          </w:p>
          <w:p>
            <w:pPr>
              <w:spacing w:after="0"/>
            </w:pPr>
            <w:r>
              <w:rPr>
                <w:rFonts w:ascii="Arial" w:cs="Arial" w:eastAsia="Arial" w:hAnsi="Arial"/>
                <w:color w:val="1A1A2E"/>
                <w:sz w:val="21"/>
                <w:szCs w:val="21"/>
              </w:rPr>
              <w:t xml:space="preserve">Jessica runs every minute on google/gemini-3-flash-preview. Preview models can change prompting behavior, response format, or tool-call schemas in breaking ways without a version bump. For the autonomous 1-minute cron that makes real trading decisions, pin to a stable GA model version.</w:t>
            </w:r>
          </w:p>
        </w:tc>
      </w:tr>
    </w:tbl>
    <w:p>
      <w:pPr>
        <w:spacing w:after="80"/>
      </w:pPr>
    </w:p>
    <w:p>
      <w:pPr>
        <w:pStyle w:val="Heading2"/>
        <w:spacing w:after="160" w:before="360"/>
      </w:pPr>
      <w:r>
        <w:rPr>
          <w:rFonts w:ascii="Arial" w:cs="Arial" w:eastAsia="Arial" w:hAnsi="Arial"/>
          <w:b/>
          <w:bCs/>
          <w:color w:val="2B6CB0"/>
          <w:sz w:val="28"/>
          <w:szCs w:val="28"/>
        </w:rPr>
        <w:t xml:space="preserve">7.3 Context Budget</w:t>
      </w: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No Token Budget Safeguard on Jessica</w:t>
            </w:r>
          </w:p>
          <w:p>
            <w:pPr>
              <w:spacing w:after="0"/>
            </w:pPr>
            <w:r>
              <w:rPr>
                <w:rFonts w:ascii="Arial" w:cs="Arial" w:eastAsia="Arial" w:hAnsi="Arial"/>
                <w:color w:val="1A1A2E"/>
                <w:sz w:val="21"/>
                <w:szCs w:val="21"/>
              </w:rPr>
              <w:t xml:space="preserve">buildJessicaContext() can assemble 8,000+ tokens of context (20 experiments + 10 strategies + 20 trades + signals + alerts + market intelligence + tool call history). At 1-minute cadence with Gemini Flash, monthly AI costs could be significant. More critically, very large contexts cause attention dilution — the model may attend to recent items and underweight the risk context in the middle.</w:t>
            </w:r>
          </w:p>
        </w:tc>
      </w:tr>
    </w:tbl>
    <w:p>
      <w:pPr>
        <w:spacing w:after="80"/>
      </w:pPr>
    </w:p>
    <w:p>
      <w:pPr>
        <w:pStyle w:val="Heading2"/>
        <w:spacing w:after="160" w:before="360"/>
      </w:pPr>
      <w:r>
        <w:rPr>
          <w:rFonts w:ascii="Arial" w:cs="Arial" w:eastAsia="Arial" w:hAnsi="Arial"/>
          <w:b/>
          <w:bCs/>
          <w:color w:val="2B6CB0"/>
          <w:sz w:val="28"/>
          <w:szCs w:val="28"/>
        </w:rPr>
        <w:t xml:space="preserve">7.4 Tool Call Schema Stability</w:t>
      </w:r>
    </w:p>
    <w:p>
      <w:pPr>
        <w:spacing w:after="160"/>
      </w:pPr>
      <w:r>
        <w:rPr>
          <w:rFonts w:ascii="Arial" w:cs="Arial" w:eastAsia="Arial" w:hAnsi="Arial"/>
          <w:b w:val="false"/>
          <w:bCs w:val="false"/>
          <w:color w:val="1A1A2E"/>
          <w:sz w:val="22"/>
          <w:szCs w:val="22"/>
        </w:rPr>
        <w:t xml:space="preserve">DESK_TOOLS defines the tool schemas Jessica uses. If any tool function signature changes (new required parameter, renamed field), Jessica's prior prompting behavior produces malformed calls. There is no schema versioning on DESK_TOOLS and no test verifying the LLM produces valid tool calls against the current schema.</w:t>
      </w:r>
    </w:p>
    <w:p>
      <w:pPr>
        <w:spacing w:after="80"/>
      </w:pPr>
    </w:p>
    <w:p>
      <w:pPr>
        <w:pStyle w:val="Heading2"/>
        <w:spacing w:after="160" w:before="360"/>
      </w:pPr>
      <w:r>
        <w:rPr>
          <w:rFonts w:ascii="Arial" w:cs="Arial" w:eastAsia="Arial" w:hAnsi="Arial"/>
          <w:b/>
          <w:bCs/>
          <w:color w:val="2B6CB0"/>
          <w:sz w:val="28"/>
          <w:szCs w:val="28"/>
        </w:rPr>
        <w:t xml:space="preserve">7.5 Agent Health Recovery</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Self-Healing via checkAgentHealth()</w:t>
            </w:r>
          </w:p>
          <w:p>
            <w:pPr>
              <w:spacing w:after="0"/>
            </w:pPr>
            <w:r>
              <w:rPr>
                <w:rFonts w:ascii="Arial" w:cs="Arial" w:eastAsia="Arial" w:hAnsi="Arial"/>
                <w:color w:val="1A1A2E"/>
                <w:sz w:val="21"/>
                <w:szCs w:val="21"/>
              </w:rPr>
              <w:t xml:space="preserve">Jessica inspects Brain Trust and Signal Engine freshness on every tick and writes to agent_health. The health thresholds are calibrated to cron cadence. Jessica's prompt instructs immediate run_brain_trust if the Brain Trust is 'failed' — a self-healing behavior that reduced the impact of stale market intelligence.</w:t>
            </w:r>
          </w:p>
        </w:tc>
      </w:tr>
    </w:tbl>
    <w:p>
      <w:pPr>
        <w:spacing w:after="80"/>
      </w:pPr>
    </w:p>
    <w:p>
      <w:pPr>
        <w:pStyle w:val="Heading2"/>
        <w:spacing w:after="160" w:before="360"/>
      </w:pPr>
      <w:r>
        <w:rPr>
          <w:rFonts w:ascii="Arial" w:cs="Arial" w:eastAsia="Arial" w:hAnsi="Arial"/>
          <w:b/>
          <w:bCs/>
          <w:color w:val="2B6CB0"/>
          <w:sz w:val="28"/>
          <w:szCs w:val="28"/>
        </w:rPr>
        <w:t xml:space="preserve">7.6 Recommendations</w:t>
      </w:r>
    </w:p>
    <w:p>
      <w:pPr>
        <w:pStyle w:val="ListParagraph"/>
        <w:numPr>
          <w:ilvl w:val="0"/>
          <w:numId w:val="3"/>
        </w:numPr>
        <w:spacing w:after="100"/>
      </w:pPr>
      <w:r>
        <w:rPr>
          <w:rFonts w:ascii="Arial" w:cs="Arial" w:eastAsia="Arial" w:hAnsi="Arial"/>
          <w:color w:val="1A1A2E"/>
          <w:sz w:val="22"/>
          <w:szCs w:val="22"/>
        </w:rPr>
        <w:t xml:space="preserve">Pin Jessica's model to a specific stable version (e.g., gemini-2.0-flash-001) for the autonomous cron path. Use 'preview' only for development/testing.</w:t>
      </w:r>
    </w:p>
    <w:p>
      <w:pPr>
        <w:pStyle w:val="ListParagraph"/>
        <w:numPr>
          <w:ilvl w:val="0"/>
          <w:numId w:val="3"/>
        </w:numPr>
        <w:spacing w:after="100"/>
      </w:pPr>
      <w:r>
        <w:rPr>
          <w:rFonts w:ascii="Arial" w:cs="Arial" w:eastAsia="Arial" w:hAnsi="Arial"/>
          <w:color w:val="1A1A2E"/>
          <w:sz w:val="22"/>
          <w:szCs w:val="22"/>
        </w:rPr>
        <w:t xml:space="preserve">Add a context_token_budget parameter to buildJessicaContext(). If the assembled context exceeds the budget, truncate older experiments and tool call history while preserving account state, system state, and pending signals.</w:t>
      </w:r>
    </w:p>
    <w:p>
      <w:pPr>
        <w:pStyle w:val="ListParagraph"/>
        <w:numPr>
          <w:ilvl w:val="0"/>
          <w:numId w:val="3"/>
        </w:numPr>
        <w:spacing w:after="100"/>
      </w:pPr>
      <w:r>
        <w:rPr>
          <w:rFonts w:ascii="Arial" w:cs="Arial" w:eastAsia="Arial" w:hAnsi="Arial"/>
          <w:color w:val="1A1A2E"/>
          <w:sz w:val="22"/>
          <w:szCs w:val="22"/>
        </w:rPr>
        <w:t xml:space="preserve">Add a cold-start schema assertion for DESK_TOOLS analogous to validateDoctrineInvariants — verify that each tool name maps to a callable function with the expected signature.</w:t>
      </w:r>
    </w:p>
    <w:p>
      <w:pPr>
        <w:pStyle w:val="ListParagraph"/>
        <w:numPr>
          <w:ilvl w:val="0"/>
          <w:numId w:val="3"/>
        </w:numPr>
        <w:spacing w:after="100"/>
      </w:pPr>
      <w:r>
        <w:rPr>
          <w:rFonts w:ascii="Arial" w:cs="Arial" w:eastAsia="Arial" w:hAnsi="Arial"/>
          <w:color w:val="1A1A2E"/>
          <w:sz w:val="22"/>
          <w:szCs w:val="22"/>
        </w:rPr>
        <w:t xml:space="preserve">Add a circuit breaker to jessica/index.ts: if the AI gateway fails 3 consecutive ticks, sit for 5 minutes rather than hammering every 60 seconds.</w:t>
      </w:r>
    </w:p>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8 — Testing &amp; Observability</w:t>
      </w:r>
    </w:p>
    <w:p>
      <w:pPr>
        <w:spacing w:after="160"/>
      </w:pPr>
      <w:r>
        <w:rPr>
          <w:rFonts w:ascii="Arial" w:cs="Arial" w:eastAsia="Arial" w:hAnsi="Arial"/>
          <w:b w:val="false"/>
          <w:bCs w:val="false"/>
          <w:color w:val="1A1A2E"/>
          <w:sz w:val="22"/>
          <w:szCs w:val="22"/>
        </w:rPr>
        <w:t xml:space="preserve">The new test suite is a significant milestone. 9 test files, comprehensive coverage of safety-critical paths, and a lifecycle integration test that validates the full chain. The event-mode panel test demonstrates the right level of React Testing Library usage — testing behavior, not CSS.</w:t>
      </w:r>
    </w:p>
    <w:p>
      <w:pPr>
        <w:pStyle w:val="Heading2"/>
        <w:spacing w:after="160" w:before="360"/>
      </w:pPr>
      <w:r>
        <w:rPr>
          <w:rFonts w:ascii="Arial" w:cs="Arial" w:eastAsia="Arial" w:hAnsi="Arial"/>
          <w:b/>
          <w:bCs/>
          <w:color w:val="2B6CB0"/>
          <w:sz w:val="28"/>
          <w:szCs w:val="28"/>
        </w:rPr>
        <w:t xml:space="preserve">8.1 Test Coverage Quality</w:t>
      </w:r>
    </w:p>
    <w:tbl>
      <w:tblPr>
        <w:tblW w:type="dxa" w:w="9360"/>
        <w:tblBorders>
          <w:top w:val="single" w:color="1A7A4A"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2"/>
              <w:left w:val="none" w:color="FFFFFF" w:sz="0"/>
              <w:bottom w:val="none" w:color="FFFFFF" w:sz="0"/>
              <w:right w:val="none" w:color="FFFFFF" w:sz="0"/>
            </w:tcBorders>
            <w:shd w:fill="D1FAE5" w:val="clear"/>
            <w:tcMar>
              <w:top w:type="dxa" w:w="140"/>
              <w:left w:type="dxa" w:w="200"/>
              <w:bottom w:type="dxa" w:w="140"/>
              <w:right w:type="dxa" w:w="200"/>
            </w:tcMar>
          </w:tcPr>
          <w:p>
            <w:pPr>
              <w:spacing w:after="50"/>
            </w:pPr>
            <w:r>
              <w:rPr>
                <w:rFonts w:ascii="Arial" w:cs="Arial" w:eastAsia="Arial" w:hAnsi="Arial"/>
                <w:b/>
                <w:bCs/>
                <w:color w:val="1A7A4A"/>
                <w:sz w:val="20"/>
                <w:szCs w:val="20"/>
              </w:rPr>
              <w:t xml:space="preserve">GOOD — Safety-Critical Path Coverage</w:t>
            </w:r>
          </w:p>
          <w:p>
            <w:pPr>
              <w:spacing w:after="0"/>
            </w:pPr>
            <w:r>
              <w:rPr>
                <w:rFonts w:ascii="Arial" w:cs="Arial" w:eastAsia="Arial" w:hAnsi="Arial"/>
                <w:color w:val="1A1A2E"/>
                <w:sz w:val="21"/>
                <w:szCs w:val="21"/>
              </w:rPr>
              <w:t xml:space="preserve">The lifecycle integration test stitches doctrine → sizing → risk → FSM → MTM in one scenario. This is the most valuable type of test for a composition-heavy system. The risk gate tests are comprehensive, covering kill-switch, balance floor, daily cap, spread width, stale data, anti-tilt, and event mode.</w:t>
            </w:r>
          </w:p>
        </w:tc>
      </w:tr>
    </w:tbl>
    <w:p>
      <w:pPr>
        <w:spacing w:after="80"/>
      </w:pPr>
    </w:p>
    <w:p>
      <w:pPr>
        <w:pStyle w:val="Heading2"/>
        <w:spacing w:after="160" w:before="360"/>
      </w:pPr>
      <w:r>
        <w:rPr>
          <w:rFonts w:ascii="Arial" w:cs="Arial" w:eastAsia="Arial" w:hAnsi="Arial"/>
          <w:b/>
          <w:bCs/>
          <w:color w:val="2B6CB0"/>
          <w:sz w:val="28"/>
          <w:szCs w:val="28"/>
        </w:rPr>
        <w:t xml:space="preserve">8.2 Critical Coverage Gaps</w:t>
      </w: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HIGH — No Tests for the Broker Layer</w:t>
            </w:r>
          </w:p>
          <w:p>
            <w:pPr>
              <w:spacing w:after="0"/>
            </w:pPr>
            <w:r>
              <w:rPr>
                <w:rFonts w:ascii="Arial" w:cs="Arial" w:eastAsia="Arial" w:hAnsi="Arial"/>
                <w:color w:val="1A1A2E"/>
                <w:sz w:val="21"/>
                <w:szCs w:val="21"/>
              </w:rPr>
              <w:t xml:space="preserve">broker.ts is the highest-consequence file in the system — it places real orders and moves real money. There are zero tests for signCoinbaseJwt, placeMarketBuy, placeMarketSell, or waitForFill. The ghost-trade scenario (broker succeeds, DB insert fails) and the double-fire scenario (Deno restart fires second order) are untested. These are achievable with mocked fetch and a mocked Supabase admin client.</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No Signal Engine Orchestration Tests</w:t>
            </w:r>
          </w:p>
          <w:p>
            <w:pPr>
              <w:spacing w:after="0"/>
            </w:pPr>
            <w:r>
              <w:rPr>
                <w:rFonts w:ascii="Arial" w:cs="Arial" w:eastAsia="Arial" w:hAnsi="Arial"/>
                <w:color w:val="1A1A2E"/>
                <w:sz w:val="21"/>
                <w:szCs w:val="21"/>
              </w:rPr>
              <w:t xml:space="preserve">signal-engine/index.ts is the most complex file (~500+ lines), composing regime classification, risk gating, sizing, AI decision, circuit breaker, and broker execution. The shared modules it calls are individually tested, but the orchestration logic — how the engine chooses the winning symbol, how it handles the circuit breaker open state, how it builds the AI prompt — is untested.</w:t>
            </w:r>
          </w:p>
        </w:tc>
      </w:tr>
    </w:tbl>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No Tests for Jessica's Tool Dispatch</w:t>
            </w:r>
          </w:p>
          <w:p>
            <w:pPr>
              <w:spacing w:after="0"/>
            </w:pPr>
            <w:r>
              <w:rPr>
                <w:rFonts w:ascii="Arial" w:cs="Arial" w:eastAsia="Arial" w:hAnsi="Arial"/>
                <w:color w:val="1A1A2E"/>
                <w:sz w:val="21"/>
                <w:szCs w:val="21"/>
              </w:rPr>
              <w:t xml:space="preserve">desk-tools.ts maps tool names to edge function calls. A unit test verifying each tool name maps to the correct handler would catch the class of bug where a tool rename breaks an autonomous path silently.</w:t>
            </w:r>
          </w:p>
        </w:tc>
      </w:tr>
    </w:tbl>
    <w:p>
      <w:pPr>
        <w:spacing w:after="80"/>
      </w:pPr>
    </w:p>
    <w:p>
      <w:pPr>
        <w:pStyle w:val="Heading2"/>
        <w:spacing w:after="160" w:before="360"/>
      </w:pPr>
      <w:r>
        <w:rPr>
          <w:rFonts w:ascii="Arial" w:cs="Arial" w:eastAsia="Arial" w:hAnsi="Arial"/>
          <w:b/>
          <w:bCs/>
          <w:color w:val="2B6CB0"/>
          <w:sz w:val="28"/>
          <w:szCs w:val="28"/>
        </w:rPr>
        <w:t xml:space="preserve">8.3 CI Gap: Deno Tests Not Run in Production Runtime</w:t>
      </w:r>
    </w:p>
    <w:p>
      <w:pPr>
        <w:spacing w:after="160"/>
      </w:pPr>
      <w:r>
        <w:rPr>
          <w:rFonts w:ascii="Arial" w:cs="Arial" w:eastAsia="Arial" w:hAnsi="Arial"/>
          <w:b w:val="false"/>
          <w:bCs w:val="false"/>
          <w:color w:val="1A1A2E"/>
          <w:sz w:val="22"/>
          <w:szCs w:val="22"/>
        </w:rPr>
        <w:t xml:space="preserve">The _shared/*.test.ts files are Deno-flavored but imported by the Vitest suite via TypeScript path aliases. They ARE exercised, but in a Node/browser runtime via Vitest, not the Deno runtime that runs them in production. A Deno-specific behavior difference (crypto API subtleties, URL handling, TextEncoder variance) would go undetected until production.</w:t>
      </w:r>
    </w:p>
    <w:p>
      <w:pPr>
        <w:spacing w:after="80"/>
      </w:pPr>
    </w:p>
    <w:p>
      <w:pPr>
        <w:pStyle w:val="Heading2"/>
        <w:spacing w:after="160" w:before="360"/>
      </w:pPr>
      <w:r>
        <w:rPr>
          <w:rFonts w:ascii="Arial" w:cs="Arial" w:eastAsia="Arial" w:hAnsi="Arial"/>
          <w:b/>
          <w:bCs/>
          <w:color w:val="2B6CB0"/>
          <w:sz w:val="28"/>
          <w:szCs w:val="28"/>
        </w:rPr>
        <w:t xml:space="preserve">8.4 Observability</w:t>
      </w:r>
    </w:p>
    <w:p>
      <w:pPr>
        <w:pStyle w:val="ListParagraph"/>
        <w:numPr>
          <w:ilvl w:val="0"/>
          <w:numId w:val="2"/>
        </w:numPr>
        <w:spacing w:after="100"/>
      </w:pPr>
      <w:r>
        <w:rPr>
          <w:rFonts w:ascii="Arial" w:cs="Arial" w:eastAsia="Arial" w:hAnsi="Arial"/>
          <w:b w:val="false"/>
          <w:bCs w:val="false"/>
          <w:color w:val="1A1A2E"/>
          <w:sz w:val="22"/>
          <w:szCs w:val="22"/>
        </w:rPr>
        <w:t xml:space="preserve">The agent_health table provides structured machine-readable health data beyond logs — the right pattern for production monitoring.</w:t>
      </w:r>
    </w:p>
    <w:p>
      <w:pPr>
        <w:pStyle w:val="ListParagraph"/>
        <w:numPr>
          <w:ilvl w:val="0"/>
          <w:numId w:val="2"/>
        </w:numPr>
        <w:spacing w:after="100"/>
      </w:pPr>
      <w:r>
        <w:rPr>
          <w:rFonts w:ascii="Arial" w:cs="Arial" w:eastAsia="Arial" w:hAnsi="Arial"/>
          <w:b w:val="false"/>
          <w:bCs w:val="false"/>
          <w:color w:val="1A1A2E"/>
          <w:sz w:val="22"/>
          <w:szCs w:val="22"/>
        </w:rPr>
        <w:t xml:space="preserve">last_jessica_decision on system_state surfaces Jessica's reasoning to the UI — good transparency for the operator.</w:t>
      </w:r>
    </w:p>
    <w:p>
      <w:pPr>
        <w:spacing w:after="80"/>
      </w:pPr>
    </w:p>
    <w:tbl>
      <w:tblPr>
        <w:tblW w:type="dxa" w:w="9360"/>
        <w:tblBorders>
          <w:top w:val="single" w:color="D97706"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97706" w:sz="12"/>
              <w:left w:val="none" w:color="FFFFFF" w:sz="0"/>
              <w:bottom w:val="none" w:color="FFFFFF" w:sz="0"/>
              <w:right w:val="none" w:color="FFFFFF" w:sz="0"/>
            </w:tcBorders>
            <w:shd w:fill="FEF3C7" w:val="clear"/>
            <w:tcMar>
              <w:top w:type="dxa" w:w="140"/>
              <w:left w:type="dxa" w:w="200"/>
              <w:bottom w:type="dxa" w:w="140"/>
              <w:right w:type="dxa" w:w="200"/>
            </w:tcMar>
          </w:tcPr>
          <w:p>
            <w:pPr>
              <w:spacing w:after="50"/>
            </w:pPr>
            <w:r>
              <w:rPr>
                <w:rFonts w:ascii="Arial" w:cs="Arial" w:eastAsia="Arial" w:hAnsi="Arial"/>
                <w:b/>
                <w:bCs/>
                <w:color w:val="D35400"/>
                <w:sz w:val="20"/>
                <w:szCs w:val="20"/>
              </w:rPr>
              <w:t xml:space="preserve">MEDIUM — No Structured Log Schema</w:t>
            </w:r>
          </w:p>
          <w:p>
            <w:pPr>
              <w:spacing w:after="0"/>
            </w:pPr>
            <w:r>
              <w:rPr>
                <w:rFonts w:ascii="Arial" w:cs="Arial" w:eastAsia="Arial" w:hAnsi="Arial"/>
                <w:color w:val="1A1A2E"/>
                <w:sz w:val="21"/>
                <w:szCs w:val="21"/>
              </w:rPr>
              <w:t xml:space="preserve">Edge function logs are unstructured strings. Querying for 'all broker failures this week' or 'all gate refusals in the last hour' requires grep-style scanning rather than structured queries.</w:t>
            </w:r>
          </w:p>
        </w:tc>
      </w:tr>
    </w:tbl>
    <w:p>
      <w:pPr>
        <w:spacing w:after="80"/>
      </w:pPr>
    </w:p>
    <w:p>
      <w:pPr>
        <w:pStyle w:val="Heading2"/>
        <w:spacing w:after="160" w:before="360"/>
      </w:pPr>
      <w:r>
        <w:rPr>
          <w:rFonts w:ascii="Arial" w:cs="Arial" w:eastAsia="Arial" w:hAnsi="Arial"/>
          <w:b/>
          <w:bCs/>
          <w:color w:val="2B6CB0"/>
          <w:sz w:val="28"/>
          <w:szCs w:val="28"/>
        </w:rPr>
        <w:t xml:space="preserve">8.5 Recommendations</w:t>
      </w:r>
    </w:p>
    <w:p>
      <w:pPr>
        <w:pStyle w:val="ListParagraph"/>
        <w:numPr>
          <w:ilvl w:val="0"/>
          <w:numId w:val="3"/>
        </w:numPr>
        <w:spacing w:after="100"/>
      </w:pPr>
      <w:r>
        <w:rPr>
          <w:rFonts w:ascii="Arial" w:cs="Arial" w:eastAsia="Arial" w:hAnsi="Arial"/>
          <w:color w:val="1A1A2E"/>
          <w:sz w:val="22"/>
          <w:szCs w:val="22"/>
        </w:rPr>
        <w:t xml:space="preserve">Add broker.ts unit tests: happy path, HTTP error response, CANCELLED order status, waitForFill timeout. These are the highest-value tests not yet written.</w:t>
      </w:r>
    </w:p>
    <w:p>
      <w:pPr>
        <w:pStyle w:val="ListParagraph"/>
        <w:numPr>
          <w:ilvl w:val="0"/>
          <w:numId w:val="3"/>
        </w:numPr>
        <w:spacing w:after="100"/>
      </w:pPr>
      <w:r>
        <w:rPr>
          <w:rFonts w:ascii="Arial" w:cs="Arial" w:eastAsia="Arial" w:hAnsi="Arial"/>
          <w:color w:val="1A1A2E"/>
          <w:sz w:val="22"/>
          <w:szCs w:val="22"/>
        </w:rPr>
        <w:t xml:space="preserve">Add a Deno test step to CI: deno test supabase/functions/_shared/*.test.ts</w:t>
      </w:r>
    </w:p>
    <w:p>
      <w:pPr>
        <w:pStyle w:val="ListParagraph"/>
        <w:numPr>
          <w:ilvl w:val="0"/>
          <w:numId w:val="3"/>
        </w:numPr>
        <w:spacing w:after="100"/>
      </w:pPr>
      <w:r>
        <w:rPr>
          <w:rFonts w:ascii="Arial" w:cs="Arial" w:eastAsia="Arial" w:hAnsi="Arial"/>
          <w:color w:val="1A1A2E"/>
          <w:sz w:val="22"/>
          <w:szCs w:val="22"/>
        </w:rPr>
        <w:t xml:space="preserve">Add a signal-engine integration test with mocked Supabase tables and AI gateway to test the full orchestration path.</w:t>
      </w:r>
    </w:p>
    <w:p>
      <w:pPr>
        <w:pStyle w:val="ListParagraph"/>
        <w:numPr>
          <w:ilvl w:val="0"/>
          <w:numId w:val="3"/>
        </w:numPr>
        <w:spacing w:after="100"/>
      </w:pPr>
      <w:r>
        <w:rPr>
          <w:rFonts w:ascii="Arial" w:cs="Arial" w:eastAsia="Arial" w:hAnsi="Arial"/>
          <w:color w:val="1A1A2E"/>
          <w:sz w:val="22"/>
          <w:szCs w:val="22"/>
        </w:rPr>
        <w:t xml:space="preserve">Add a structured logging helper to _shared/: log({ level, event, ...meta }) → JSON. Structured logs make the difference between 'something went wrong at 3am' and 'here are all broker failures this week.'</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9 — Operational Readiness</w:t>
      </w:r>
    </w:p>
    <w:p>
      <w:pPr>
        <w:spacing w:after="160"/>
      </w:pPr>
      <w:r>
        <w:rPr>
          <w:rFonts w:ascii="Arial" w:cs="Arial" w:eastAsia="Arial" w:hAnsi="Arial"/>
          <w:b w:val="false"/>
          <w:bCs w:val="false"/>
          <w:color w:val="1A1A2E"/>
          <w:sz w:val="22"/>
          <w:szCs w:val="22"/>
        </w:rPr>
        <w:t xml:space="preserve">The system is in a good 'paper mode with live plumbing tested' state. The live execution path exists and is structurally verified by CI. Several operational procedures need to be written down before scaling beyond the current $0.25-per-order test threshold.</w:t>
      </w:r>
    </w:p>
    <w:p>
      <w:pPr>
        <w:pStyle w:val="Heading2"/>
        <w:spacing w:after="160" w:before="360"/>
      </w:pPr>
      <w:r>
        <w:rPr>
          <w:rFonts w:ascii="Arial" w:cs="Arial" w:eastAsia="Arial" w:hAnsi="Arial"/>
          <w:b/>
          <w:bCs/>
          <w:color w:val="2B6CB0"/>
          <w:sz w:val="28"/>
          <w:szCs w:val="28"/>
        </w:rPr>
        <w:t xml:space="preserve">9.1 Key Rotation Procedures</w:t>
      </w:r>
    </w:p>
    <w:p>
      <w:pPr>
        <w:spacing w:after="160"/>
      </w:pPr>
      <w:r>
        <w:rPr>
          <w:rFonts w:ascii="Arial" w:cs="Arial" w:eastAsia="Arial" w:hAnsi="Arial"/>
          <w:b w:val="false"/>
          <w:bCs w:val="false"/>
          <w:color w:val="1A1A2E"/>
          <w:sz w:val="22"/>
          <w:szCs w:val="22"/>
        </w:rPr>
        <w:t xml:space="preserve">The broker vault migration documents initial setup and key rotation clearly. Gaps:</w:t>
      </w:r>
    </w:p>
    <w:p>
      <w:pPr>
        <w:pStyle w:val="ListParagraph"/>
        <w:numPr>
          <w:ilvl w:val="0"/>
          <w:numId w:val="2"/>
        </w:numPr>
        <w:spacing w:after="100"/>
      </w:pPr>
      <w:r>
        <w:rPr>
          <w:rFonts w:ascii="Arial" w:cs="Arial" w:eastAsia="Arial" w:hAnsi="Arial"/>
          <w:b w:val="false"/>
          <w:bCs w:val="false"/>
          <w:color w:val="1A1A2E"/>
          <w:sz w:val="22"/>
          <w:szCs w:val="22"/>
        </w:rPr>
        <w:t xml:space="preserve">No documented procedure for rotating the Supabase service-role key (requires updating all edge function environment variables simultaneously, coordinated across deployments).</w:t>
      </w:r>
    </w:p>
    <w:p>
      <w:pPr>
        <w:pStyle w:val="ListParagraph"/>
        <w:numPr>
          <w:ilvl w:val="0"/>
          <w:numId w:val="2"/>
        </w:numPr>
        <w:spacing w:after="100"/>
      </w:pPr>
      <w:r>
        <w:rPr>
          <w:rFonts w:ascii="Arial" w:cs="Arial" w:eastAsia="Arial" w:hAnsi="Arial"/>
          <w:b w:val="false"/>
          <w:bCs w:val="false"/>
          <w:color w:val="1A1A2E"/>
          <w:sz w:val="22"/>
          <w:szCs w:val="22"/>
        </w:rPr>
        <w:t xml:space="preserve">No alerting for Coinbase API key health — Coinbase does not have built-in expiry on Advanced Trade keys, but organization admins can revoke them silently. A weekly health probe would catch revocation before the next live trade attempt.</w:t>
      </w:r>
    </w:p>
    <w:p>
      <w:pPr>
        <w:spacing w:after="80"/>
      </w:pPr>
    </w:p>
    <w:p>
      <w:pPr>
        <w:pStyle w:val="Heading2"/>
        <w:spacing w:after="160" w:before="360"/>
      </w:pPr>
      <w:r>
        <w:rPr>
          <w:rFonts w:ascii="Arial" w:cs="Arial" w:eastAsia="Arial" w:hAnsi="Arial"/>
          <w:b/>
          <w:bCs/>
          <w:color w:val="2B6CB0"/>
          <w:sz w:val="28"/>
          <w:szCs w:val="28"/>
        </w:rPr>
        <w:t xml:space="preserve">9.2 Ghost Trade Recovery Procedure</w:t>
      </w:r>
    </w:p>
    <w:tbl>
      <w:tblPr>
        <w:tblW w:type="dxa" w:w="9360"/>
        <w:tblBorders>
          <w:top w:val="single" w:color="C0392B"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DECEA" w:val="clear"/>
            <w:tcMar>
              <w:top w:type="dxa" w:w="140"/>
              <w:left w:type="dxa" w:w="200"/>
              <w:bottom w:type="dxa" w:w="140"/>
              <w:right w:type="dxa" w:w="200"/>
            </w:tcMar>
          </w:tcPr>
          <w:p>
            <w:pPr>
              <w:spacing w:after="50"/>
            </w:pPr>
            <w:r>
              <w:rPr>
                <w:rFonts w:ascii="Arial" w:cs="Arial" w:eastAsia="Arial" w:hAnsi="Arial"/>
                <w:b/>
                <w:bCs/>
                <w:color w:val="C0392B"/>
                <w:sz w:val="20"/>
                <w:szCs w:val="20"/>
              </w:rPr>
              <w:t xml:space="preserve">MISSING — No Runbook for Ghost Trade Recovery</w:t>
            </w:r>
          </w:p>
          <w:p>
            <w:pPr>
              <w:spacing w:after="0"/>
            </w:pPr>
            <w:r>
              <w:rPr>
                <w:rFonts w:ascii="Arial" w:cs="Arial" w:eastAsia="Arial" w:hAnsi="Arial"/>
                <w:color w:val="1A1A2E"/>
                <w:sz w:val="21"/>
                <w:szCs w:val="21"/>
              </w:rPr>
              <w:t xml:space="preserve">If a ghost trade occurs before the pre-insert fix is deployed, there is no documented recovery procedure. The operator would need to: identify the orphaned Coinbase position in order history, manually INSERT a trade row with correct fill data and broker_order_id, trigger mark-to-market, and reconcile the account balance. This procedure must be documented before any live trading.</w:t>
            </w:r>
          </w:p>
        </w:tc>
      </w:tr>
    </w:tbl>
    <w:p>
      <w:pPr>
        <w:spacing w:after="80"/>
      </w:pPr>
    </w:p>
    <w:p>
      <w:pPr>
        <w:pStyle w:val="Heading2"/>
        <w:spacing w:after="160" w:before="360"/>
      </w:pPr>
      <w:r>
        <w:rPr>
          <w:rFonts w:ascii="Arial" w:cs="Arial" w:eastAsia="Arial" w:hAnsi="Arial"/>
          <w:b/>
          <w:bCs/>
          <w:color w:val="2B6CB0"/>
          <w:sz w:val="28"/>
          <w:szCs w:val="28"/>
        </w:rPr>
        <w:t xml:space="preserve">9.3 Scaling Gating</w:t>
      </w:r>
    </w:p>
    <w:tbl>
      <w:tblPr>
        <w:tblW w:type="dxa" w:w="9360"/>
        <w:tblBorders>
          <w:top w:val="single" w:color="1A56A0"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56A0" w:sz="12"/>
              <w:left w:val="none" w:color="FFFFFF" w:sz="0"/>
              <w:bottom w:val="none" w:color="FFFFFF" w:sz="0"/>
              <w:right w:val="none" w:color="FFFFFF" w:sz="0"/>
            </w:tcBorders>
            <w:shd w:fill="D6E8F7" w:val="clear"/>
            <w:tcMar>
              <w:top w:type="dxa" w:w="140"/>
              <w:left w:type="dxa" w:w="200"/>
              <w:bottom w:type="dxa" w:w="140"/>
              <w:right w:type="dxa" w:w="200"/>
            </w:tcMar>
          </w:tcPr>
          <w:p>
            <w:pPr>
              <w:spacing w:after="50"/>
            </w:pPr>
            <w:r>
              <w:rPr>
                <w:rFonts w:ascii="Arial" w:cs="Arial" w:eastAsia="Arial" w:hAnsi="Arial"/>
                <w:b/>
                <w:bCs/>
                <w:color w:val="0F2D4A"/>
                <w:sz w:val="20"/>
                <w:szCs w:val="20"/>
              </w:rPr>
              <w:t xml:space="preserve">Before Moving to Active Profile ($5/order, 15/day)</w:t>
            </w:r>
          </w:p>
          <w:p>
            <w:pPr>
              <w:spacing w:after="0"/>
            </w:pPr>
            <w:r>
              <w:rPr>
                <w:rFonts w:ascii="Arial" w:cs="Arial" w:eastAsia="Arial" w:hAnsi="Arial"/>
                <w:color w:val="1A1A2E"/>
                <w:sz w:val="21"/>
                <w:szCs w:val="21"/>
              </w:rPr>
              <w:t xml:space="preserve">All CRITICAL findings must be resolved. Both HIGH security findings must be addressed. The backtest dual-engine cost model must be unified (Section 4.1). Supabase tier must support the increased cron cadence and websocket connections. Broker tests must pass. Structured logging must be in place for incident reconstruction.</w:t>
            </w:r>
          </w:p>
        </w:tc>
      </w:tr>
    </w:tbl>
    <w:p>
      <w:pPr>
        <w:spacing w:after="80"/>
      </w:pPr>
    </w:p>
    <w:p>
      <w:pPr>
        <w:pStyle w:val="Heading2"/>
        <w:spacing w:after="160" w:before="360"/>
      </w:pPr>
      <w:r>
        <w:rPr>
          <w:rFonts w:ascii="Arial" w:cs="Arial" w:eastAsia="Arial" w:hAnsi="Arial"/>
          <w:b/>
          <w:bCs/>
          <w:color w:val="2B6CB0"/>
          <w:sz w:val="28"/>
          <w:szCs w:val="28"/>
        </w:rPr>
        <w:t xml:space="preserve">9.4 Dependency Risk</w:t>
      </w:r>
    </w:p>
    <w:p>
      <w:pPr>
        <w:pStyle w:val="ListParagraph"/>
        <w:numPr>
          <w:ilvl w:val="0"/>
          <w:numId w:val="2"/>
        </w:numPr>
        <w:spacing w:after="100"/>
      </w:pPr>
      <w:r>
        <w:rPr>
          <w:rFonts w:ascii="Arial" w:cs="Arial" w:eastAsia="Arial" w:hAnsi="Arial"/>
          <w:b w:val="false"/>
          <w:bCs w:val="false"/>
          <w:color w:val="1A1A2E"/>
          <w:sz w:val="22"/>
          <w:szCs w:val="22"/>
        </w:rPr>
        <w:t xml:space="preserve">Coinbase Advanced Trade — single broker, no failover. Engine correctly fails closed on broker error (skips auto-execute). Correct.</w:t>
      </w:r>
    </w:p>
    <w:p>
      <w:pPr>
        <w:pStyle w:val="ListParagraph"/>
        <w:numPr>
          <w:ilvl w:val="0"/>
          <w:numId w:val="2"/>
        </w:numPr>
        <w:spacing w:after="100"/>
      </w:pPr>
      <w:r>
        <w:rPr>
          <w:rFonts w:ascii="Arial" w:cs="Arial" w:eastAsia="Arial" w:hAnsi="Arial"/>
          <w:b w:val="false"/>
          <w:bCs w:val="false"/>
          <w:color w:val="1A1A2E"/>
          <w:sz w:val="22"/>
          <w:szCs w:val="22"/>
        </w:rPr>
        <w:t xml:space="preserve">Google AI Gateway — used by Jessica, Harvey, Katrina, and signal reasoning. The signal-engine circuit breaker handles AI failures. Jessica's cron has no equivalent — AI failure in jessica/index.ts causes the full tick to fail with no signal generation.</w:t>
      </w:r>
    </w:p>
    <w:p>
      <w:pPr>
        <w:pStyle w:val="ListParagraph"/>
        <w:numPr>
          <w:ilvl w:val="0"/>
          <w:numId w:val="2"/>
        </w:numPr>
        <w:spacing w:after="100"/>
      </w:pPr>
      <w:r>
        <w:rPr>
          <w:rFonts w:ascii="Arial" w:cs="Arial" w:eastAsia="Arial" w:hAnsi="Arial"/>
          <w:b w:val="false"/>
          <w:bCs w:val="false"/>
          <w:color w:val="1A1A2E"/>
          <w:sz w:val="22"/>
          <w:szCs w:val="22"/>
        </w:rPr>
        <w:t xml:space="preserve">Supabase pg_cron — all scheduled automation depends on this. Layer 2 watchdog (check_jessica_heartbeat) alerts on silence, but no fallback execution path exists.</w:t>
      </w:r>
    </w:p>
    <w:p>
      <w:pPr>
        <w:spacing w:after="80"/>
      </w:pPr>
    </w:p>
    <w:p>
      <w:pPr>
        <w:pStyle w:val="Heading2"/>
        <w:spacing w:after="160" w:before="360"/>
      </w:pPr>
      <w:r>
        <w:rPr>
          <w:rFonts w:ascii="Arial" w:cs="Arial" w:eastAsia="Arial" w:hAnsi="Arial"/>
          <w:b/>
          <w:bCs/>
          <w:color w:val="2B6CB0"/>
          <w:sz w:val="28"/>
          <w:szCs w:val="28"/>
        </w:rPr>
        <w:t xml:space="preserve">9.5 Recommendations</w:t>
      </w:r>
    </w:p>
    <w:p>
      <w:pPr>
        <w:pStyle w:val="ListParagraph"/>
        <w:numPr>
          <w:ilvl w:val="0"/>
          <w:numId w:val="3"/>
        </w:numPr>
        <w:spacing w:after="100"/>
      </w:pPr>
      <w:r>
        <w:rPr>
          <w:rFonts w:ascii="Arial" w:cs="Arial" w:eastAsia="Arial" w:hAnsi="Arial"/>
          <w:color w:val="1A1A2E"/>
          <w:sz w:val="22"/>
          <w:szCs w:val="22"/>
        </w:rPr>
        <w:t xml:space="preserve">Write and commit RUNBOOKS.md: ghost trade recovery, kill-switch emergency procedure, DB rollback, Coinbase key rotation, Supabase service key rotation, graduated live mode rollout.</w:t>
      </w:r>
    </w:p>
    <w:p>
      <w:pPr>
        <w:pStyle w:val="ListParagraph"/>
        <w:numPr>
          <w:ilvl w:val="0"/>
          <w:numId w:val="3"/>
        </w:numPr>
        <w:spacing w:after="100"/>
      </w:pPr>
      <w:r>
        <w:rPr>
          <w:rFonts w:ascii="Arial" w:cs="Arial" w:eastAsia="Arial" w:hAnsi="Arial"/>
          <w:color w:val="1A1A2E"/>
          <w:sz w:val="22"/>
          <w:szCs w:val="22"/>
        </w:rPr>
        <w:t xml:space="preserve">Add a circuit breaker to jessica/index.ts for AI gateway failures: sit for 5 minutes after 3 consecutive AI failures rather than retrying every 60 seconds.</w:t>
      </w:r>
    </w:p>
    <w:p>
      <w:pPr>
        <w:pStyle w:val="ListParagraph"/>
        <w:numPr>
          <w:ilvl w:val="0"/>
          <w:numId w:val="3"/>
        </w:numPr>
        <w:spacing w:after="100"/>
      </w:pPr>
      <w:r>
        <w:rPr>
          <w:rFonts w:ascii="Arial" w:cs="Arial" w:eastAsia="Arial" w:hAnsi="Arial"/>
          <w:color w:val="1A1A2E"/>
          <w:sz w:val="22"/>
          <w:szCs w:val="22"/>
        </w:rPr>
        <w:t xml:space="preserve">Add a Coinbase API health probe to Jessica's pre-tick health check. If the Coinbase API is unreachable, block engine ticks and signal approvals.</w:t>
      </w:r>
    </w:p>
    <w:p>
      <w:pPr>
        <w:pStyle w:val="ListParagraph"/>
        <w:numPr>
          <w:ilvl w:val="0"/>
          <w:numId w:val="3"/>
        </w:numPr>
        <w:spacing w:after="100"/>
      </w:pPr>
      <w:r>
        <w:rPr>
          <w:rFonts w:ascii="Arial" w:cs="Arial" w:eastAsia="Arial" w:hAnsi="Arial"/>
          <w:color w:val="1A1A2E"/>
          <w:sz w:val="22"/>
          <w:szCs w:val="22"/>
        </w:rPr>
        <w:t xml:space="preserve">Document the graduated live mode procedure: start at $0.25/order (the doctrine floor) for 1 week, verify reconciliation matches Coinbase order history, then scale to $0.50, then $1.00.</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pBdr>
          <w:bottom w:val="single" w:color="1A56A0" w:sz="8" w:space="1"/>
        </w:pBdr>
        <w:spacing w:after="200" w:before="480"/>
      </w:pPr>
      <w:r>
        <w:rPr>
          <w:rFonts w:ascii="Arial" w:cs="Arial" w:eastAsia="Arial" w:hAnsi="Arial"/>
          <w:b/>
          <w:bCs/>
          <w:color w:val="0F2D4A"/>
          <w:sz w:val="36"/>
          <w:szCs w:val="36"/>
        </w:rPr>
        <w:t xml:space="preserve">10 — Prioritized Action List</w:t>
      </w:r>
    </w:p>
    <w:p>
      <w:pPr>
        <w:spacing w:after="160"/>
      </w:pPr>
      <w:r>
        <w:rPr>
          <w:rFonts w:ascii="Arial" w:cs="Arial" w:eastAsia="Arial" w:hAnsi="Arial"/>
          <w:b w:val="false"/>
          <w:bCs w:val="false"/>
          <w:color w:val="1A1A2E"/>
          <w:sz w:val="22"/>
          <w:szCs w:val="22"/>
        </w:rPr>
        <w:t xml:space="preserve">Ordered by risk to capital and system correctness. The first two items are prerequisites for any live trading beyond the current $0.25-per-order test threshold.</w:t>
      </w:r>
    </w:p>
    <w:p>
      <w:pPr>
        <w:spacing w:after="80"/>
      </w:pPr>
    </w:p>
    <w:p>
      <w:pPr>
        <w:pStyle w:val="Heading2"/>
        <w:spacing w:after="160" w:before="360"/>
      </w:pPr>
      <w:r>
        <w:rPr>
          <w:rFonts w:ascii="Arial" w:cs="Arial" w:eastAsia="Arial" w:hAnsi="Arial"/>
          <w:b/>
          <w:bCs/>
          <w:color w:val="2B6CB0"/>
          <w:sz w:val="28"/>
          <w:szCs w:val="28"/>
        </w:rPr>
        <w:t xml:space="preserve">Must Fix Before Scaling Live Execution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4"/>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7960"/>
            <w:tcBorders>
              <w:top w:val="single" w:color="C0392B"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Ghost Trade: Two-Phase Write Pattern</w:t>
            </w:r>
          </w:p>
          <w:p>
            <w:pPr>
              <w:spacing w:after="0"/>
            </w:pPr>
            <w:r>
              <w:rPr>
                <w:rFonts w:ascii="Arial" w:cs="Arial" w:eastAsia="Arial" w:hAnsi="Arial"/>
                <w:color w:val="555577"/>
                <w:sz w:val="20"/>
                <w:szCs w:val="20"/>
              </w:rPr>
              <w:t xml:space="preserve">Pre-insert pending row before calling broker. Update on fill or failure. Prevents orphaned real positions invisible to the kill-switch and MTM engine. See Section 3.1.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4"/>
              <w:left w:val="none" w:color="FFFFFF" w:sz="0"/>
              <w:bottom w:val="none" w:color="FFFFFF" w:sz="0"/>
              <w:right w:val="none" w:color="FFFFFF" w:sz="0"/>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7960"/>
            <w:tcBorders>
              <w:top w:val="single" w:color="C0392B"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Auto-Execute Idempotency: Persist clientOrderId First</w:t>
            </w:r>
          </w:p>
          <w:p>
            <w:pPr>
              <w:spacing w:after="0"/>
            </w:pPr>
            <w:r>
              <w:rPr>
                <w:rFonts w:ascii="Arial" w:cs="Arial" w:eastAsia="Arial" w:hAnsi="Arial"/>
                <w:color w:val="555577"/>
                <w:sz w:val="20"/>
                <w:szCs w:val="20"/>
              </w:rPr>
              <w:t xml:space="preserve">Generate and store clientOrderId before calling placeMarketBuy. Reuse on retry. Prevents double-fill on Deno isolate restart. See Section 3.2.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Unify Backtest Cost Models</w:t>
            </w:r>
          </w:p>
          <w:p>
            <w:pPr>
              <w:spacing w:after="0"/>
            </w:pPr>
            <w:r>
              <w:rPr>
                <w:rFonts w:ascii="Arial" w:cs="Arial" w:eastAsia="Arial" w:hAnsi="Arial"/>
                <w:color w:val="555577"/>
                <w:sz w:val="20"/>
                <w:szCs w:val="20"/>
              </w:rPr>
              <w:t xml:space="preserve">Add fee/slippage to runSharedBacktest. Experiments accepted/rejected on gross R while operator evaluates on net R. Can flip marginal decisions. See Section 4.1.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Remove CORS Wildcard from broker-execute</w:t>
            </w:r>
          </w:p>
          <w:p>
            <w:pPr>
              <w:spacing w:after="0"/>
            </w:pPr>
            <w:r>
              <w:rPr>
                <w:rFonts w:ascii="Arial" w:cs="Arial" w:eastAsia="Arial" w:hAnsi="Arial"/>
                <w:color w:val="555577"/>
                <w:sz w:val="20"/>
                <w:szCs w:val="20"/>
              </w:rPr>
              <w:t xml:space="preserve">broker-execute is internal-only. Remove Access-Control headers. Prevents endpoint discovery and service-role key exposure in logs. See Section 2.2.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Add Critical DB Indexes</w:t>
            </w:r>
          </w:p>
          <w:p>
            <w:pPr>
              <w:spacing w:after="0"/>
            </w:pPr>
            <w:r>
              <w:rPr>
                <w:rFonts w:ascii="Arial" w:cs="Arial" w:eastAsia="Arial" w:hAnsi="Arial"/>
                <w:color w:val="555577"/>
                <w:sz w:val="20"/>
                <w:szCs w:val="20"/>
              </w:rPr>
              <w:t xml:space="preserve">trades(user_id, created_at), trade_signals(user_id, status WHERE pending), market_intelligence(user_id, symbol, created_at), GIN on reason_tags. Critical for 1-minute cron at scale. See Section 5.2.</w:t>
            </w:r>
          </w:p>
        </w:tc>
      </w:tr>
    </w:tbl>
    <w:p>
      <w:pPr>
        <w:spacing w:after="80"/>
      </w:pPr>
    </w:p>
    <w:p>
      <w:pPr>
        <w:pStyle w:val="Heading2"/>
        <w:spacing w:after="160" w:before="360"/>
      </w:pPr>
      <w:r>
        <w:rPr>
          <w:rFonts w:ascii="Arial" w:cs="Arial" w:eastAsia="Arial" w:hAnsi="Arial"/>
          <w:b/>
          <w:bCs/>
          <w:color w:val="2B6CB0"/>
          <w:sz w:val="28"/>
          <w:szCs w:val="28"/>
        </w:rPr>
        <w:t xml:space="preserve">Fix Before Extended Live Trading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Add Broker Layer Tests</w:t>
            </w:r>
          </w:p>
          <w:p>
            <w:pPr>
              <w:spacing w:after="0"/>
            </w:pPr>
            <w:r>
              <w:rPr>
                <w:rFonts w:ascii="Arial" w:cs="Arial" w:eastAsia="Arial" w:hAnsi="Arial"/>
                <w:color w:val="555577"/>
                <w:sz w:val="20"/>
                <w:szCs w:val="20"/>
              </w:rPr>
              <w:t xml:space="preserve">Unit tests for placeMarketBuy, placeMarketSell, waitForFill with mocked HTTP responses. Highest-consequence untested code. See Section 8.2.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Enforce Jessica Pause Limit in Code</w:t>
            </w:r>
          </w:p>
          <w:p>
            <w:pPr>
              <w:spacing w:after="0"/>
            </w:pPr>
            <w:r>
              <w:rPr>
                <w:rFonts w:ascii="Arial" w:cs="Arial" w:eastAsia="Arial" w:hAnsi="Arial"/>
                <w:color w:val="555577"/>
                <w:sz w:val="20"/>
                <w:szCs w:val="20"/>
              </w:rPr>
              <w:t xml:space="preserve">Add DB or application guard preventing Jessica from setting tradingPausedUntil &gt; 120 minutes in the future without operator_approved flag. See Section 3.5.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35400" w:sz="4"/>
              <w:left w:val="none" w:color="FFFFFF" w:sz="0"/>
              <w:bottom w:val="none" w:color="FFFFFF" w:sz="0"/>
              <w:right w:val="none" w:color="FFFFFF" w:sz="0"/>
            </w:tcBorders>
            <w:shd w:fill="FEF0E7" w:val="clear"/>
            <w:tcMar>
              <w:top w:type="dxa" w:w="80"/>
              <w:left w:type="dxa" w:w="120"/>
              <w:bottom w:type="dxa" w:w="80"/>
              <w:right w:type="dxa" w:w="120"/>
            </w:tcMar>
          </w:tcPr>
          <w:p>
            <w:pPr>
              <w:jc w:val="center"/>
            </w:pPr>
            <w:r>
              <w:rPr>
                <w:rFonts w:ascii="Arial" w:cs="Arial" w:eastAsia="Arial" w:hAnsi="Arial"/>
                <w:b/>
                <w:bCs/>
                <w:color w:val="D35400"/>
                <w:sz w:val="18"/>
                <w:szCs w:val="18"/>
              </w:rPr>
              <w:t xml:space="preserve">HIGH</w:t>
            </w:r>
          </w:p>
        </w:tc>
        <w:tc>
          <w:tcPr>
            <w:tcW w:type="dxa" w:w="7960"/>
            <w:tcBorders>
              <w:top w:val="single" w:color="D35400"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Shared Realtime Subscription Manager</w:t>
            </w:r>
          </w:p>
          <w:p>
            <w:pPr>
              <w:spacing w:after="0"/>
            </w:pPr>
            <w:r>
              <w:rPr>
                <w:rFonts w:ascii="Arial" w:cs="Arial" w:eastAsia="Arial" w:hAnsi="Arial"/>
                <w:color w:val="555577"/>
                <w:sz w:val="20"/>
                <w:szCs w:val="20"/>
              </w:rPr>
              <w:t xml:space="preserve">Replace 12+ per-hook channels with a single multiplexed manager. Prevents hitting Supabase subscription limits under sustained use. See Section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Write RUNBOOKS.md</w:t>
            </w:r>
          </w:p>
          <w:p>
            <w:pPr>
              <w:spacing w:after="0"/>
            </w:pPr>
            <w:r>
              <w:rPr>
                <w:rFonts w:ascii="Arial" w:cs="Arial" w:eastAsia="Arial" w:hAnsi="Arial"/>
                <w:color w:val="555577"/>
                <w:sz w:val="20"/>
                <w:szCs w:val="20"/>
              </w:rPr>
              <w:t xml:space="preserve">Ghost trade recovery, kill-switch procedure, key rotation, graduated live mode rollout. Must exist before any live trading. See Section 9.5.</w:t>
            </w:r>
          </w:p>
        </w:tc>
      </w:tr>
    </w:tbl>
    <w:p>
      <w:pPr>
        <w:spacing w:after="80"/>
      </w:pPr>
    </w:p>
    <w:p>
      <w:pPr>
        <w:pStyle w:val="Heading2"/>
        <w:spacing w:after="160" w:before="360"/>
      </w:pPr>
      <w:r>
        <w:rPr>
          <w:rFonts w:ascii="Arial" w:cs="Arial" w:eastAsia="Arial" w:hAnsi="Arial"/>
          <w:b/>
          <w:bCs/>
          <w:color w:val="2B6CB0"/>
          <w:sz w:val="28"/>
          <w:szCs w:val="28"/>
        </w:rPr>
        <w:t xml:space="preserve">Next Sprint Technical Debt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Pin Jessica to Stable Model</w:t>
            </w:r>
          </w:p>
          <w:p>
            <w:pPr>
              <w:spacing w:after="0"/>
            </w:pPr>
            <w:r>
              <w:rPr>
                <w:rFonts w:ascii="Arial" w:cs="Arial" w:eastAsia="Arial" w:hAnsi="Arial"/>
                <w:color w:val="555577"/>
                <w:sz w:val="20"/>
                <w:szCs w:val="20"/>
              </w:rPr>
              <w:t xml:space="preserve">Replace google/gemini-3-flash-preview with a GA stable version for the autonomous 1-minute cron. See Section 7.2.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Add Deno Test Step to CI</w:t>
            </w:r>
          </w:p>
          <w:p>
            <w:pPr>
              <w:spacing w:after="0"/>
            </w:pPr>
            <w:r>
              <w:rPr>
                <w:rFonts w:ascii="Arial" w:cs="Arial" w:eastAsia="Arial" w:hAnsi="Arial"/>
                <w:color w:val="555577"/>
                <w:sz w:val="20"/>
                <w:szCs w:val="20"/>
              </w:rPr>
              <w:t xml:space="preserve">deno test supabase/functions/_shared/*.test.ts — run authoritative backend tests in production runtime. See Section 8.3.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Add profitFactor/avgWin/avgLoss to StrategyMetrics</w:t>
            </w:r>
          </w:p>
          <w:p>
            <w:pPr>
              <w:spacing w:after="0"/>
            </w:pPr>
            <w:r>
              <w:rPr>
                <w:rFonts w:ascii="Arial" w:cs="Arial" w:eastAsia="Arial" w:hAnsi="Arial"/>
                <w:color w:val="555577"/>
                <w:sz w:val="20"/>
                <w:szCs w:val="20"/>
              </w:rPr>
              <w:t xml:space="preserve">Unify SharedMetrics and StrategyMetrics, persist to DB strategies table. See Section 4.5.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Structured Logging in Edge Functions</w:t>
            </w:r>
          </w:p>
          <w:p>
            <w:pPr>
              <w:spacing w:after="0"/>
            </w:pPr>
            <w:r>
              <w:rPr>
                <w:rFonts w:ascii="Arial" w:cs="Arial" w:eastAsia="Arial" w:hAnsi="Arial"/>
                <w:color w:val="555577"/>
                <w:sz w:val="20"/>
                <w:szCs w:val="20"/>
              </w:rPr>
              <w:t xml:space="preserve">JSON-structured logs with level, event, meta. Critical for post-incident analysis of broker failures. See Section 8.4.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Replace supabase.rpc as any Cast</w:t>
            </w:r>
          </w:p>
          <w:p>
            <w:pPr>
              <w:spacing w:after="0"/>
            </w:pPr>
            <w:r>
              <w:rPr>
                <w:rFonts w:ascii="Arial" w:cs="Arial" w:eastAsia="Arial" w:hAnsi="Arial"/>
                <w:color w:val="555577"/>
                <w:sz w:val="20"/>
                <w:szCs w:val="20"/>
              </w:rPr>
              <w:t xml:space="preserve">Run Supabase type generation after acknowledge_live_money migration. See Section 6.3.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97706" w:sz="4"/>
              <w:left w:val="none" w:color="FFFFFF" w:sz="0"/>
              <w:bottom w:val="none" w:color="FFFFFF" w:sz="0"/>
              <w:right w:val="none" w:color="FFFFFF" w:sz="0"/>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7960"/>
            <w:tcBorders>
              <w:top w:val="single" w:color="D97706"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Add System Events Audit Table</w:t>
            </w:r>
          </w:p>
          <w:p>
            <w:pPr>
              <w:spacing w:after="0"/>
            </w:pPr>
            <w:r>
              <w:rPr>
                <w:rFonts w:ascii="Arial" w:cs="Arial" w:eastAsia="Arial" w:hAnsi="Arial"/>
                <w:color w:val="555577"/>
                <w:sz w:val="20"/>
                <w:szCs w:val="20"/>
              </w:rPr>
              <w:t xml:space="preserve">Append-only table for operator actions: kill-switch toggles, autonomy changes, live mode toggles. See Section 1.3.</w:t>
            </w:r>
          </w:p>
        </w:tc>
      </w:tr>
    </w:tbl>
    <w:p>
      <w:pPr>
        <w:spacing w:after="80"/>
      </w:pPr>
    </w:p>
    <w:p>
      <w:pPr>
        <w:pStyle w:val="Heading2"/>
        <w:spacing w:after="160" w:before="360"/>
      </w:pPr>
      <w:r>
        <w:rPr>
          <w:rFonts w:ascii="Arial" w:cs="Arial" w:eastAsia="Arial" w:hAnsi="Arial"/>
          <w:b/>
          <w:bCs/>
          <w:color w:val="2B6CB0"/>
          <w:sz w:val="28"/>
          <w:szCs w:val="28"/>
        </w:rPr>
        <w:t xml:space="preserve">Strengths to 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7A4A" w:sz="4"/>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STRENGTH</w:t>
            </w:r>
          </w:p>
        </w:tc>
        <w:tc>
          <w:tcPr>
            <w:tcW w:type="dxa" w:w="7960"/>
            <w:tcBorders>
              <w:top w:val="single" w:color="1A7A4A"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Layered Risk Gate Architecture</w:t>
            </w:r>
          </w:p>
          <w:p>
            <w:pPr>
              <w:spacing w:after="0"/>
            </w:pPr>
            <w:r>
              <w:rPr>
                <w:rFonts w:ascii="Arial" w:cs="Arial" w:eastAsia="Arial" w:hAnsi="Arial"/>
                <w:color w:val="555577"/>
                <w:sz w:val="20"/>
                <w:szCs w:val="20"/>
              </w:rPr>
              <w:t xml:space="preserve">Five independent defense layers. Never bypass clampSize or evaluateRiskGates. Expand this pattern to new execution paths.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7A4A" w:sz="4"/>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STRENGTH</w:t>
            </w:r>
          </w:p>
        </w:tc>
        <w:tc>
          <w:tcPr>
            <w:tcW w:type="dxa" w:w="7960"/>
            <w:tcBorders>
              <w:top w:val="single" w:color="1A7A4A"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FSM at Application and DB Layer</w:t>
            </w:r>
          </w:p>
          <w:p>
            <w:pPr>
              <w:spacing w:after="0"/>
            </w:pPr>
            <w:r>
              <w:rPr>
                <w:rFonts w:ascii="Arial" w:cs="Arial" w:eastAsia="Arial" w:hAnsi="Arial"/>
                <w:color w:val="555577"/>
                <w:sz w:val="20"/>
                <w:szCs w:val="20"/>
              </w:rPr>
              <w:t xml:space="preserve">lifecycle.ts FSM + DB CHECK constraints. Illegal transitions fail loudly at two independent points. The lifecycle integration test is the canary — if it breaks, nothing ships.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7A4A" w:sz="4"/>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STRENGTH</w:t>
            </w:r>
          </w:p>
        </w:tc>
        <w:tc>
          <w:tcPr>
            <w:tcW w:type="dxa" w:w="7960"/>
            <w:tcBorders>
              <w:top w:val="single" w:color="1A7A4A"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validateDoctrineInvariants Cold-Start</w:t>
            </w:r>
          </w:p>
          <w:p>
            <w:pPr>
              <w:spacing w:after="0"/>
            </w:pPr>
            <w:r>
              <w:rPr>
                <w:rFonts w:ascii="Arial" w:cs="Arial" w:eastAsia="Arial" w:hAnsi="Arial"/>
                <w:color w:val="555577"/>
                <w:sz w:val="20"/>
                <w:szCs w:val="20"/>
              </w:rPr>
              <w:t xml:space="preserve">Fail-loud invariant check at every cold-start catches numerical drift before any order fires. Expand to DESK_TOOLS schema versioning.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7A4A" w:sz="4"/>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STRENGTH</w:t>
            </w:r>
          </w:p>
        </w:tc>
        <w:tc>
          <w:tcPr>
            <w:tcW w:type="dxa" w:w="7960"/>
            <w:tcBorders>
              <w:top w:val="single" w:color="1A7A4A"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Event Mode Gating</w:t>
            </w:r>
          </w:p>
          <w:p>
            <w:pPr>
              <w:spacing w:after="0"/>
            </w:pPr>
            <w:r>
              <w:rPr>
                <w:rFonts w:ascii="Arial" w:cs="Arial" w:eastAsia="Arial" w:hAnsi="Arial"/>
                <w:color w:val="555577"/>
                <w:sz w:val="20"/>
                <w:szCs w:val="20"/>
              </w:rPr>
              <w:t xml:space="preserve">Structured pause-reason codes, DB-enforced gate, UI test coverage. Production-ready. Expanding known codes (e.g., EARNINGS, GEOPOLITICAL) is a low-cost high-value addition.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7A4A" w:sz="4"/>
              <w:left w:val="none" w:color="FFFFFF" w:sz="0"/>
              <w:bottom w:val="none" w:color="FFFFFF" w:sz="0"/>
              <w:right w:val="none" w:color="FFFFFF" w:sz="0"/>
            </w:tcBorders>
            <w:shd w:fill="D1FAE5" w:val="clear"/>
            <w:tcMar>
              <w:top w:type="dxa" w:w="80"/>
              <w:left w:type="dxa" w:w="120"/>
              <w:bottom w:type="dxa" w:w="80"/>
              <w:right w:type="dxa" w:w="120"/>
            </w:tcMar>
          </w:tcPr>
          <w:p>
            <w:pPr>
              <w:jc w:val="center"/>
            </w:pPr>
            <w:r>
              <w:rPr>
                <w:rFonts w:ascii="Arial" w:cs="Arial" w:eastAsia="Arial" w:hAnsi="Arial"/>
                <w:b/>
                <w:bCs/>
                <w:color w:val="1A7A4A"/>
                <w:sz w:val="18"/>
                <w:szCs w:val="18"/>
              </w:rPr>
              <w:t xml:space="preserve">STRENGTH</w:t>
            </w:r>
          </w:p>
        </w:tc>
        <w:tc>
          <w:tcPr>
            <w:tcW w:type="dxa" w:w="7960"/>
            <w:tcBorders>
              <w:top w:val="single" w:color="1A7A4A" w:sz="4"/>
              <w:left w:val="none" w:color="FFFFFF" w:sz="0"/>
              <w:bottom w:val="none" w:color="FFFFFF" w:sz="0"/>
              <w:right w:val="none" w:color="FFFFFF" w:sz="0"/>
            </w:tcBorders>
            <w:shd w:fill="FFFFFF" w:val="clear"/>
            <w:tcMar>
              <w:top w:type="dxa" w:w="80"/>
              <w:left w:type="dxa" w:w="160"/>
              <w:bottom w:type="dxa" w:w="80"/>
              <w:right w:type="dxa" w:w="120"/>
            </w:tcMar>
          </w:tcPr>
          <w:p>
            <w:pPr>
              <w:spacing w:after="40"/>
            </w:pPr>
            <w:r>
              <w:rPr>
                <w:rFonts w:ascii="Arial" w:cs="Arial" w:eastAsia="Arial" w:hAnsi="Arial"/>
                <w:b/>
                <w:bCs/>
                <w:color w:val="0F2D4A"/>
                <w:sz w:val="22"/>
                <w:szCs w:val="22"/>
              </w:rPr>
              <w:t xml:space="preserve">Brain Trust Agent Health Recovery</w:t>
            </w:r>
          </w:p>
          <w:p>
            <w:pPr>
              <w:spacing w:after="0"/>
            </w:pPr>
            <w:r>
              <w:rPr>
                <w:rFonts w:ascii="Arial" w:cs="Arial" w:eastAsia="Arial" w:hAnsi="Arial"/>
                <w:color w:val="555577"/>
                <w:sz w:val="20"/>
                <w:szCs w:val="20"/>
              </w:rPr>
              <w:t xml:space="preserve">checkAgentHealth() + self-healing run_brain_trust on failure. The right pattern for a multi-agent system with external data dependencies.</w:t>
            </w:r>
          </w:p>
        </w:tc>
      </w:tr>
    </w:tbl>
    <w:sectPr>
      <w:headerReference w:type="default" r:id="rId27"/>
      <w:footerReference w:type="default" r:id="rId2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77"/>
        <w:sz w:val="18"/>
        <w:szCs w:val="18"/>
      </w:rPr>
      <w:t xml:space="preserve">Page </w:t>
    </w:r>
    <w:r>
      <w:rPr>
        <w:rFonts w:ascii="Arial" w:cs="Arial" w:eastAsia="Arial" w:hAnsi="Arial"/>
        <w:color w:val="5555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77"/>
        <w:sz w:val="18"/>
        <w:szCs w:val="18"/>
      </w:rPr>
      <w:t xml:space="preserve">capital-calm-ai — Multi-Expert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2026-04-28T23:03:38.698Z</dcterms:created>
  <dcterms:modified xsi:type="dcterms:W3CDTF">2026-04-28T23:03:38.698Z</dcterms:modified>
</cp:coreProperties>
</file>

<file path=docProps/custom.xml><?xml version="1.0" encoding="utf-8"?>
<Properties xmlns="http://schemas.openxmlformats.org/officeDocument/2006/custom-properties" xmlns:vt="http://schemas.openxmlformats.org/officeDocument/2006/docPropsVTypes"/>
</file>